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jc w:val="both"/>
        <w:rPr>
          <w:rFonts w:ascii="Times New Roman" w:hAnsi="Times New Roman" w:cs="Times New Roman"/>
          <w:sz w:val="28"/>
          <w:szCs w:val="28"/>
        </w:rPr>
      </w:pPr>
    </w:p>
    <w:p>
      <w:pPr>
        <w:spacing w:before="100" w:beforeAutospacing="1" w:after="100" w:afterAutospacing="1" w:line="480" w:lineRule="auto"/>
        <w:jc w:val="center"/>
        <w:rPr>
          <w:rFonts w:asciiTheme="majorHAnsi" w:hAnsiTheme="majorHAnsi"/>
          <w:b/>
        </w:rPr>
      </w:pPr>
      <w:r>
        <w:rPr>
          <w:rFonts w:asciiTheme="majorHAnsi" w:hAnsiTheme="majorHAnsi"/>
          <w:b/>
        </w:rPr>
        <w:t>Effect of Huaier Granule on Recurrence after Curative Resection of HCC:</w:t>
      </w:r>
    </w:p>
    <w:p>
      <w:pPr>
        <w:spacing w:before="100" w:beforeAutospacing="1" w:after="100" w:afterAutospacing="1" w:line="480" w:lineRule="auto"/>
        <w:jc w:val="center"/>
        <w:rPr>
          <w:rFonts w:asciiTheme="majorHAnsi" w:hAnsiTheme="majorHAnsi"/>
          <w:b/>
        </w:rPr>
      </w:pPr>
      <w:r>
        <w:rPr>
          <w:rFonts w:asciiTheme="majorHAnsi" w:hAnsiTheme="majorHAnsi"/>
          <w:b/>
        </w:rPr>
        <w:t>A Multicenter, Randomized Clinical Trial</w:t>
      </w:r>
    </w:p>
    <w:p>
      <w:pPr>
        <w:spacing w:before="100" w:beforeAutospacing="1" w:after="100" w:afterAutospacing="1" w:line="480" w:lineRule="auto"/>
        <w:jc w:val="both"/>
        <w:rPr>
          <w:rFonts w:asciiTheme="majorHAnsi" w:hAnsiTheme="majorHAnsi"/>
          <w:vertAlign w:val="superscript"/>
        </w:rPr>
      </w:pPr>
      <w:r>
        <w:rPr>
          <w:rFonts w:cs="Times New Roman" w:asciiTheme="majorHAnsi" w:hAnsiTheme="majorHAnsi"/>
        </w:rPr>
        <w:t>Qian Chen, PhD, MD</w:t>
      </w:r>
      <w:r>
        <w:rPr>
          <w:rFonts w:asciiTheme="majorHAnsi" w:hAnsiTheme="majorHAnsi"/>
          <w:vertAlign w:val="superscript"/>
        </w:rPr>
        <w:t>1</w:t>
      </w:r>
      <w:r>
        <w:rPr>
          <w:rFonts w:eastAsia="Times New Roman" w:cs="Times New Roman" w:asciiTheme="majorHAnsi" w:hAnsiTheme="majorHAnsi"/>
          <w:vertAlign w:val="superscript"/>
        </w:rPr>
        <w:t>#</w:t>
      </w:r>
      <w:r>
        <w:rPr>
          <w:rFonts w:cs="Times New Roman" w:asciiTheme="majorHAnsi" w:hAnsiTheme="majorHAnsi"/>
        </w:rPr>
        <w:t>; Chang Shu, PhD</w:t>
      </w:r>
      <w:r>
        <w:rPr>
          <w:rFonts w:cs="Times New Roman" w:asciiTheme="majorHAnsi" w:hAnsiTheme="majorHAnsi"/>
          <w:vertAlign w:val="superscript"/>
        </w:rPr>
        <w:t>2,</w:t>
      </w:r>
      <w:r>
        <w:rPr>
          <w:rFonts w:hint="eastAsia" w:eastAsia="宋体" w:cs="Times New Roman" w:asciiTheme="majorHAnsi" w:hAnsiTheme="majorHAnsi"/>
          <w:vertAlign w:val="superscript"/>
          <w:lang w:val="en-US" w:eastAsia="zh-CN"/>
        </w:rPr>
        <w:t>3,</w:t>
      </w:r>
      <w:r>
        <w:rPr>
          <w:rFonts w:cs="Times New Roman" w:asciiTheme="majorHAnsi" w:hAnsiTheme="majorHAnsi"/>
          <w:vertAlign w:val="superscript"/>
        </w:rPr>
        <w:t>4</w:t>
      </w:r>
      <w:r>
        <w:rPr>
          <w:rFonts w:eastAsia="Times New Roman" w:cs="Times New Roman" w:asciiTheme="majorHAnsi" w:hAnsiTheme="majorHAnsi"/>
          <w:vertAlign w:val="superscript"/>
        </w:rPr>
        <w:t>#</w:t>
      </w:r>
      <w:r>
        <w:rPr>
          <w:rFonts w:cs="Times New Roman" w:asciiTheme="majorHAnsi" w:hAnsiTheme="majorHAnsi"/>
        </w:rPr>
        <w:t>; Arian D. Laurence, PhD, MD</w:t>
      </w:r>
      <w:r>
        <w:rPr>
          <w:rFonts w:asciiTheme="majorHAnsi" w:hAnsiTheme="majorHAnsi"/>
          <w:vertAlign w:val="superscript"/>
        </w:rPr>
        <w:t xml:space="preserve"> </w:t>
      </w:r>
      <w:r>
        <w:rPr>
          <w:rFonts w:hint="eastAsia" w:eastAsia="宋体" w:asciiTheme="majorHAnsi" w:hAnsiTheme="majorHAnsi"/>
          <w:vertAlign w:val="superscript"/>
          <w:lang w:val="en-US" w:eastAsia="zh-CN"/>
        </w:rPr>
        <w:t>5</w:t>
      </w:r>
      <w:r>
        <w:rPr>
          <w:rFonts w:cs="Times New Roman" w:asciiTheme="majorHAnsi" w:hAnsiTheme="majorHAnsi"/>
        </w:rPr>
        <w:t>; Yan Chen, PhD, MD</w:t>
      </w:r>
      <w:r>
        <w:rPr>
          <w:rFonts w:asciiTheme="majorHAnsi" w:hAnsiTheme="majorHAnsi"/>
          <w:vertAlign w:val="superscript"/>
        </w:rPr>
        <w:t xml:space="preserve"> </w:t>
      </w:r>
      <w:r>
        <w:rPr>
          <w:rFonts w:hint="eastAsia" w:eastAsia="宋体" w:asciiTheme="majorHAnsi" w:hAnsiTheme="majorHAnsi"/>
          <w:vertAlign w:val="superscript"/>
          <w:lang w:val="en-US" w:eastAsia="zh-CN"/>
        </w:rPr>
        <w:t>3,6,7</w:t>
      </w:r>
      <w:r>
        <w:rPr>
          <w:rFonts w:cs="Times New Roman" w:asciiTheme="majorHAnsi" w:hAnsiTheme="majorHAnsi"/>
        </w:rPr>
        <w:t xml:space="preserve">; </w:t>
      </w:r>
      <w:r>
        <w:rPr>
          <w:rFonts w:hint="eastAsia" w:eastAsia="宋体" w:cs="Times New Roman" w:asciiTheme="majorHAnsi" w:hAnsiTheme="majorHAnsi"/>
          <w:lang w:val="en-US" w:eastAsia="zh-CN"/>
        </w:rPr>
        <w:t>Bao-Gang Peng, MD</w:t>
      </w:r>
      <w:r>
        <w:rPr>
          <w:rFonts w:hint="eastAsia" w:eastAsia="宋体" w:cs="Times New Roman" w:asciiTheme="majorHAnsi" w:hAnsiTheme="majorHAnsi"/>
          <w:vertAlign w:val="superscript"/>
          <w:lang w:val="en-US" w:eastAsia="zh-CN"/>
        </w:rPr>
        <w:t>5</w:t>
      </w:r>
      <w:r>
        <w:rPr>
          <w:rFonts w:hint="eastAsia" w:eastAsia="宋体" w:cs="Times New Roman" w:asciiTheme="majorHAnsi" w:hAnsiTheme="majorHAnsi"/>
          <w:lang w:val="en-US" w:eastAsia="zh-CN"/>
        </w:rPr>
        <w:t>; Zuo-Jun Zhen, MD</w:t>
      </w:r>
      <w:r>
        <w:rPr>
          <w:rFonts w:hint="eastAsia" w:eastAsia="宋体" w:cs="Times New Roman" w:asciiTheme="majorHAnsi" w:hAnsiTheme="majorHAnsi"/>
          <w:vertAlign w:val="superscript"/>
          <w:lang w:val="en-US" w:eastAsia="zh-CN"/>
        </w:rPr>
        <w:t>6</w:t>
      </w:r>
      <w:r>
        <w:rPr>
          <w:rFonts w:hint="eastAsia" w:eastAsia="宋体" w:cs="Times New Roman" w:asciiTheme="majorHAnsi" w:hAnsiTheme="majorHAnsi"/>
          <w:vertAlign w:val="baseline"/>
          <w:lang w:val="en-US" w:eastAsia="zh-CN"/>
        </w:rPr>
        <w:t>; Jian-Qiang Cai, MD</w:t>
      </w:r>
      <w:r>
        <w:rPr>
          <w:rFonts w:hint="eastAsia" w:eastAsia="宋体" w:cs="Times New Roman" w:asciiTheme="majorHAnsi" w:hAnsiTheme="majorHAnsi"/>
          <w:vertAlign w:val="superscript"/>
          <w:lang w:val="en-US" w:eastAsia="zh-CN"/>
        </w:rPr>
        <w:t>7</w:t>
      </w:r>
      <w:r>
        <w:rPr>
          <w:rFonts w:hint="eastAsia" w:eastAsia="宋体" w:cs="Times New Roman" w:asciiTheme="majorHAnsi" w:hAnsiTheme="majorHAnsi"/>
          <w:vertAlign w:val="baseline"/>
          <w:lang w:val="en-US" w:eastAsia="zh-CN"/>
        </w:rPr>
        <w:t>; Yi-Tao Ding, MD</w:t>
      </w:r>
      <w:r>
        <w:rPr>
          <w:rFonts w:hint="eastAsia" w:eastAsia="宋体" w:cs="Times New Roman" w:asciiTheme="majorHAnsi" w:hAnsiTheme="majorHAnsi"/>
          <w:vertAlign w:val="superscript"/>
          <w:lang w:val="en-US" w:eastAsia="zh-CN"/>
        </w:rPr>
        <w:t>8</w:t>
      </w:r>
      <w:r>
        <w:rPr>
          <w:rFonts w:hint="eastAsia" w:eastAsia="宋体" w:cs="Times New Roman" w:asciiTheme="majorHAnsi" w:hAnsiTheme="majorHAnsi"/>
          <w:vertAlign w:val="baseline"/>
          <w:lang w:val="en-US" w:eastAsia="zh-CN"/>
        </w:rPr>
        <w:t>; Le-Qun Li, MD</w:t>
      </w:r>
      <w:r>
        <w:rPr>
          <w:rFonts w:hint="eastAsia" w:eastAsia="宋体" w:cs="Times New Roman" w:asciiTheme="majorHAnsi" w:hAnsiTheme="majorHAnsi"/>
          <w:vertAlign w:val="superscript"/>
          <w:lang w:val="en-US" w:eastAsia="zh-CN"/>
        </w:rPr>
        <w:t>9</w:t>
      </w:r>
      <w:r>
        <w:rPr>
          <w:rFonts w:hint="eastAsia" w:eastAsia="宋体" w:cs="Times New Roman" w:asciiTheme="majorHAnsi" w:hAnsiTheme="majorHAnsi"/>
          <w:vertAlign w:val="baseline"/>
          <w:lang w:val="en-US" w:eastAsia="zh-CN"/>
        </w:rPr>
        <w:t>; Yu-Bao Zhang, MD</w:t>
      </w:r>
      <w:r>
        <w:rPr>
          <w:rFonts w:hint="eastAsia" w:eastAsia="宋体" w:cs="Times New Roman" w:asciiTheme="majorHAnsi" w:hAnsiTheme="majorHAnsi"/>
          <w:vertAlign w:val="superscript"/>
          <w:lang w:val="en-US" w:eastAsia="zh-CN"/>
        </w:rPr>
        <w:t>10</w:t>
      </w:r>
      <w:r>
        <w:rPr>
          <w:rFonts w:hint="eastAsia" w:eastAsia="宋体" w:cs="Times New Roman" w:asciiTheme="majorHAnsi" w:hAnsiTheme="majorHAnsi"/>
          <w:vertAlign w:val="baseline"/>
          <w:lang w:val="en-US" w:eastAsia="zh-CN"/>
        </w:rPr>
        <w:t>; Qi-Chang Zheng, MD</w:t>
      </w:r>
      <w:r>
        <w:rPr>
          <w:rFonts w:hint="eastAsia" w:eastAsia="宋体" w:cs="Times New Roman" w:asciiTheme="majorHAnsi" w:hAnsiTheme="majorHAnsi"/>
          <w:vertAlign w:val="superscript"/>
          <w:lang w:val="en-US" w:eastAsia="zh-CN"/>
        </w:rPr>
        <w:t>11</w:t>
      </w:r>
      <w:r>
        <w:rPr>
          <w:rFonts w:hint="eastAsia" w:eastAsia="宋体" w:cs="Times New Roman" w:asciiTheme="majorHAnsi" w:hAnsiTheme="majorHAnsi"/>
          <w:vertAlign w:val="baseline"/>
          <w:lang w:val="en-US" w:eastAsia="zh-CN"/>
        </w:rPr>
        <w:t>; Ge-Liang Xu, MD</w:t>
      </w:r>
      <w:r>
        <w:rPr>
          <w:rFonts w:hint="eastAsia" w:eastAsia="宋体" w:cs="Times New Roman" w:asciiTheme="majorHAnsi" w:hAnsiTheme="majorHAnsi"/>
          <w:vertAlign w:val="superscript"/>
          <w:lang w:val="en-US" w:eastAsia="zh-CN"/>
        </w:rPr>
        <w:t>12</w:t>
      </w:r>
      <w:r>
        <w:rPr>
          <w:rFonts w:hint="eastAsia" w:eastAsia="宋体" w:cs="Times New Roman" w:asciiTheme="majorHAnsi" w:hAnsiTheme="majorHAnsi"/>
          <w:vertAlign w:val="baseline"/>
          <w:lang w:val="en-US" w:eastAsia="zh-CN"/>
        </w:rPr>
        <w:t>; Bo Li, MD</w:t>
      </w:r>
      <w:r>
        <w:rPr>
          <w:rFonts w:hint="eastAsia" w:eastAsia="宋体" w:cs="Times New Roman" w:asciiTheme="majorHAnsi" w:hAnsiTheme="majorHAnsi"/>
          <w:vertAlign w:val="superscript"/>
          <w:lang w:val="en-US" w:eastAsia="zh-CN"/>
        </w:rPr>
        <w:t>13</w:t>
      </w:r>
      <w:r>
        <w:rPr>
          <w:rFonts w:hint="eastAsia" w:eastAsia="宋体" w:cs="Times New Roman" w:asciiTheme="majorHAnsi" w:hAnsiTheme="majorHAnsi"/>
          <w:vertAlign w:val="baseline"/>
          <w:lang w:val="en-US" w:eastAsia="zh-CN"/>
        </w:rPr>
        <w:t>; Wei-Ping Zhou, MD</w:t>
      </w:r>
      <w:r>
        <w:rPr>
          <w:rFonts w:hint="eastAsia" w:eastAsia="宋体" w:cs="Times New Roman" w:asciiTheme="majorHAnsi" w:hAnsiTheme="majorHAnsi"/>
          <w:vertAlign w:val="superscript"/>
          <w:lang w:val="en-US" w:eastAsia="zh-CN"/>
        </w:rPr>
        <w:t>14</w:t>
      </w:r>
      <w:r>
        <w:rPr>
          <w:rFonts w:hint="eastAsia" w:eastAsia="宋体" w:cs="Times New Roman" w:asciiTheme="majorHAnsi" w:hAnsiTheme="majorHAnsi"/>
          <w:vertAlign w:val="baseline"/>
          <w:lang w:val="en-US" w:eastAsia="zh-CN"/>
        </w:rPr>
        <w:t>; Shou-Wang Cai, MD</w:t>
      </w:r>
      <w:r>
        <w:rPr>
          <w:rFonts w:hint="eastAsia" w:eastAsia="宋体" w:cs="Times New Roman" w:asciiTheme="majorHAnsi" w:hAnsiTheme="majorHAnsi"/>
          <w:vertAlign w:val="superscript"/>
          <w:lang w:val="en-US" w:eastAsia="zh-CN"/>
        </w:rPr>
        <w:t>15</w:t>
      </w:r>
      <w:r>
        <w:rPr>
          <w:rFonts w:hint="eastAsia" w:eastAsia="宋体" w:cs="Times New Roman" w:asciiTheme="majorHAnsi" w:hAnsiTheme="majorHAnsi"/>
          <w:vertAlign w:val="baseline"/>
          <w:lang w:val="en-US" w:eastAsia="zh-CN"/>
        </w:rPr>
        <w:t>; Xi-Yan Wang, MD</w:t>
      </w:r>
      <w:r>
        <w:rPr>
          <w:rFonts w:hint="eastAsia" w:eastAsia="宋体" w:cs="Times New Roman" w:asciiTheme="majorHAnsi" w:hAnsiTheme="majorHAnsi"/>
          <w:vertAlign w:val="superscript"/>
          <w:lang w:val="en-US" w:eastAsia="zh-CN"/>
        </w:rPr>
        <w:t>16</w:t>
      </w:r>
      <w:r>
        <w:rPr>
          <w:rFonts w:hint="eastAsia" w:eastAsia="宋体" w:cs="Times New Roman" w:asciiTheme="majorHAnsi" w:hAnsiTheme="majorHAnsi"/>
          <w:vertAlign w:val="baseline"/>
          <w:lang w:val="en-US" w:eastAsia="zh-CN"/>
        </w:rPr>
        <w:t>; Hao Wen, MD</w:t>
      </w:r>
      <w:r>
        <w:rPr>
          <w:rFonts w:hint="eastAsia" w:eastAsia="宋体" w:cs="Times New Roman" w:asciiTheme="majorHAnsi" w:hAnsiTheme="majorHAnsi"/>
          <w:vertAlign w:val="superscript"/>
          <w:lang w:val="en-US" w:eastAsia="zh-CN"/>
        </w:rPr>
        <w:t>17</w:t>
      </w:r>
      <w:r>
        <w:rPr>
          <w:rFonts w:hint="eastAsia" w:eastAsia="宋体" w:cs="Times New Roman" w:asciiTheme="majorHAnsi" w:hAnsiTheme="majorHAnsi"/>
          <w:vertAlign w:val="baseline"/>
          <w:lang w:val="en-US" w:eastAsia="zh-CN"/>
        </w:rPr>
        <w:t>; Xin-Yu Peng, MD</w:t>
      </w:r>
      <w:r>
        <w:rPr>
          <w:rFonts w:hint="eastAsia" w:eastAsia="宋体" w:cs="Times New Roman" w:asciiTheme="majorHAnsi" w:hAnsiTheme="majorHAnsi"/>
          <w:vertAlign w:val="superscript"/>
          <w:lang w:val="en-US" w:eastAsia="zh-CN"/>
        </w:rPr>
        <w:t>18</w:t>
      </w:r>
      <w:r>
        <w:rPr>
          <w:rFonts w:hint="eastAsia" w:eastAsia="宋体" w:cs="Times New Roman" w:asciiTheme="majorHAnsi" w:hAnsiTheme="majorHAnsi"/>
          <w:vertAlign w:val="baseline"/>
          <w:lang w:val="en-US" w:eastAsia="zh-CN"/>
        </w:rPr>
        <w:t>; Xue-Wen Zhang, MD</w:t>
      </w:r>
      <w:r>
        <w:rPr>
          <w:rFonts w:hint="eastAsia" w:eastAsia="宋体" w:cs="Times New Roman" w:asciiTheme="majorHAnsi" w:hAnsiTheme="majorHAnsi"/>
          <w:vertAlign w:val="superscript"/>
          <w:lang w:val="en-US" w:eastAsia="zh-CN"/>
        </w:rPr>
        <w:t>19</w:t>
      </w:r>
      <w:r>
        <w:rPr>
          <w:rFonts w:hint="eastAsia" w:eastAsia="宋体" w:cs="Times New Roman" w:asciiTheme="majorHAnsi" w:hAnsiTheme="majorHAnsi"/>
          <w:vertAlign w:val="baseline"/>
          <w:lang w:val="en-US" w:eastAsia="zh-CN"/>
        </w:rPr>
        <w:t>; Chao-Liu Dai, MD</w:t>
      </w:r>
      <w:r>
        <w:rPr>
          <w:rFonts w:hint="eastAsia" w:eastAsia="宋体" w:cs="Times New Roman" w:asciiTheme="majorHAnsi" w:hAnsiTheme="majorHAnsi"/>
          <w:vertAlign w:val="superscript"/>
          <w:lang w:val="en-US" w:eastAsia="zh-CN"/>
        </w:rPr>
        <w:t>20</w:t>
      </w:r>
      <w:r>
        <w:rPr>
          <w:rFonts w:hint="eastAsia" w:eastAsia="宋体" w:cs="Times New Roman" w:asciiTheme="majorHAnsi" w:hAnsiTheme="majorHAnsi"/>
          <w:vertAlign w:val="baseline"/>
          <w:lang w:val="en-US" w:eastAsia="zh-CN"/>
        </w:rPr>
        <w:t>; Ping Bie, MD</w:t>
      </w:r>
      <w:r>
        <w:rPr>
          <w:rFonts w:hint="eastAsia" w:eastAsia="宋体" w:cs="Times New Roman" w:asciiTheme="majorHAnsi" w:hAnsiTheme="majorHAnsi"/>
          <w:vertAlign w:val="superscript"/>
          <w:lang w:val="en-US" w:eastAsia="zh-CN"/>
        </w:rPr>
        <w:t>21</w:t>
      </w:r>
      <w:r>
        <w:rPr>
          <w:rFonts w:hint="eastAsia" w:eastAsia="宋体" w:cs="Times New Roman" w:asciiTheme="majorHAnsi" w:hAnsiTheme="majorHAnsi"/>
          <w:vertAlign w:val="baseline"/>
          <w:lang w:val="en-US" w:eastAsia="zh-CN"/>
        </w:rPr>
        <w:t>; Bao-Cai Xing, MD</w:t>
      </w:r>
      <w:r>
        <w:rPr>
          <w:rFonts w:hint="eastAsia" w:eastAsia="宋体" w:cs="Times New Roman" w:asciiTheme="majorHAnsi" w:hAnsiTheme="majorHAnsi"/>
          <w:vertAlign w:val="superscript"/>
          <w:lang w:val="en-US" w:eastAsia="zh-CN"/>
        </w:rPr>
        <w:t>22</w:t>
      </w:r>
      <w:r>
        <w:rPr>
          <w:rFonts w:hint="eastAsia" w:eastAsia="宋体" w:cs="Times New Roman" w:asciiTheme="majorHAnsi" w:hAnsiTheme="majorHAnsi"/>
          <w:vertAlign w:val="baseline"/>
          <w:lang w:val="en-US" w:eastAsia="zh-CN"/>
        </w:rPr>
        <w:t>; Zhi-Ren Fu, MD</w:t>
      </w:r>
      <w:r>
        <w:rPr>
          <w:rFonts w:hint="eastAsia" w:eastAsia="宋体" w:cs="Times New Roman" w:asciiTheme="majorHAnsi" w:hAnsiTheme="majorHAnsi"/>
          <w:vertAlign w:val="superscript"/>
          <w:lang w:val="en-US" w:eastAsia="zh-CN"/>
        </w:rPr>
        <w:t>23</w:t>
      </w:r>
      <w:r>
        <w:rPr>
          <w:rFonts w:hint="eastAsia" w:eastAsia="宋体" w:cs="Times New Roman" w:asciiTheme="majorHAnsi" w:hAnsiTheme="majorHAnsi"/>
          <w:vertAlign w:val="baseline"/>
          <w:lang w:val="en-US" w:eastAsia="zh-CN"/>
        </w:rPr>
        <w:t>; Lian-Xin Liu, MD</w:t>
      </w:r>
      <w:r>
        <w:rPr>
          <w:rFonts w:hint="eastAsia" w:eastAsia="宋体" w:cs="Times New Roman" w:asciiTheme="majorHAnsi" w:hAnsiTheme="majorHAnsi"/>
          <w:vertAlign w:val="superscript"/>
          <w:lang w:val="en-US" w:eastAsia="zh-CN"/>
        </w:rPr>
        <w:t>24</w:t>
      </w:r>
      <w:r>
        <w:rPr>
          <w:rFonts w:hint="eastAsia" w:eastAsia="宋体" w:cs="Times New Roman" w:asciiTheme="majorHAnsi" w:hAnsiTheme="majorHAnsi"/>
          <w:vertAlign w:val="baseline"/>
          <w:lang w:val="en-US" w:eastAsia="zh-CN"/>
        </w:rPr>
        <w:t>; Yi Mu, MD</w:t>
      </w:r>
      <w:r>
        <w:rPr>
          <w:rFonts w:hint="eastAsia" w:eastAsia="宋体" w:cs="Times New Roman" w:asciiTheme="majorHAnsi" w:hAnsiTheme="majorHAnsi"/>
          <w:vertAlign w:val="superscript"/>
          <w:lang w:val="en-US" w:eastAsia="zh-CN"/>
        </w:rPr>
        <w:t>25</w:t>
      </w:r>
      <w:r>
        <w:rPr>
          <w:rFonts w:hint="eastAsia" w:eastAsia="宋体" w:cs="Times New Roman" w:asciiTheme="majorHAnsi" w:hAnsiTheme="majorHAnsi"/>
          <w:vertAlign w:val="baseline"/>
          <w:lang w:val="en-US" w:eastAsia="zh-CN"/>
        </w:rPr>
        <w:t>; Ling Zhang, MD</w:t>
      </w:r>
      <w:r>
        <w:rPr>
          <w:rFonts w:hint="eastAsia" w:eastAsia="宋体" w:cs="Times New Roman" w:asciiTheme="majorHAnsi" w:hAnsiTheme="majorHAnsi"/>
          <w:vertAlign w:val="superscript"/>
          <w:lang w:val="en-US" w:eastAsia="zh-CN"/>
        </w:rPr>
        <w:t>26</w:t>
      </w:r>
      <w:r>
        <w:rPr>
          <w:rFonts w:hint="eastAsia" w:eastAsia="宋体" w:cs="Times New Roman" w:asciiTheme="majorHAnsi" w:hAnsiTheme="majorHAnsi"/>
          <w:vertAlign w:val="baseline"/>
          <w:lang w:val="en-US" w:eastAsia="zh-CN"/>
        </w:rPr>
        <w:t>; Qi-Shun Zhang, MD</w:t>
      </w:r>
      <w:r>
        <w:rPr>
          <w:rFonts w:hint="eastAsia" w:eastAsia="宋体" w:cs="Times New Roman" w:asciiTheme="majorHAnsi" w:hAnsiTheme="majorHAnsi"/>
          <w:vertAlign w:val="superscript"/>
          <w:lang w:val="en-US" w:eastAsia="zh-CN"/>
        </w:rPr>
        <w:t>27</w:t>
      </w:r>
      <w:r>
        <w:rPr>
          <w:rFonts w:hint="eastAsia" w:eastAsia="宋体" w:cs="Times New Roman" w:asciiTheme="majorHAnsi" w:hAnsiTheme="majorHAnsi"/>
          <w:vertAlign w:val="baseline"/>
          <w:lang w:val="en-US" w:eastAsia="zh-CN"/>
        </w:rPr>
        <w:t>; Bin Jiang, MD</w:t>
      </w:r>
      <w:r>
        <w:rPr>
          <w:rFonts w:hint="eastAsia" w:eastAsia="宋体" w:cs="Times New Roman" w:asciiTheme="majorHAnsi" w:hAnsiTheme="majorHAnsi"/>
          <w:vertAlign w:val="superscript"/>
          <w:lang w:val="en-US" w:eastAsia="zh-CN"/>
        </w:rPr>
        <w:t>28</w:t>
      </w:r>
      <w:r>
        <w:rPr>
          <w:rFonts w:hint="eastAsia" w:eastAsia="宋体" w:cs="Times New Roman" w:asciiTheme="majorHAnsi" w:hAnsiTheme="majorHAnsi"/>
          <w:vertAlign w:val="baseline"/>
          <w:lang w:val="en-US" w:eastAsia="zh-CN"/>
        </w:rPr>
        <w:t>; Hai-Xin Qian, MD</w:t>
      </w:r>
      <w:r>
        <w:rPr>
          <w:rFonts w:hint="eastAsia" w:eastAsia="宋体" w:cs="Times New Roman" w:asciiTheme="majorHAnsi" w:hAnsiTheme="majorHAnsi"/>
          <w:vertAlign w:val="superscript"/>
          <w:lang w:val="en-US" w:eastAsia="zh-CN"/>
        </w:rPr>
        <w:t>29</w:t>
      </w:r>
      <w:r>
        <w:rPr>
          <w:rFonts w:hint="eastAsia" w:eastAsia="宋体" w:cs="Times New Roman" w:asciiTheme="majorHAnsi" w:hAnsiTheme="majorHAnsi"/>
          <w:vertAlign w:val="baseline"/>
          <w:lang w:val="en-US" w:eastAsia="zh-CN"/>
        </w:rPr>
        <w:t>; Yi-Jun Wang, MD</w:t>
      </w:r>
      <w:r>
        <w:rPr>
          <w:rFonts w:hint="eastAsia" w:eastAsia="宋体" w:cs="Times New Roman" w:asciiTheme="majorHAnsi" w:hAnsiTheme="majorHAnsi"/>
          <w:vertAlign w:val="superscript"/>
          <w:lang w:val="en-US" w:eastAsia="zh-CN"/>
        </w:rPr>
        <w:t>30</w:t>
      </w:r>
      <w:r>
        <w:rPr>
          <w:rFonts w:hint="eastAsia" w:eastAsia="宋体" w:cs="Times New Roman" w:asciiTheme="majorHAnsi" w:hAnsiTheme="majorHAnsi"/>
          <w:vertAlign w:val="baseline"/>
          <w:lang w:val="en-US" w:eastAsia="zh-CN"/>
        </w:rPr>
        <w:t>; Jing-Feng Liu, MD</w:t>
      </w:r>
      <w:r>
        <w:rPr>
          <w:rFonts w:hint="eastAsia" w:eastAsia="宋体" w:cs="Times New Roman" w:asciiTheme="majorHAnsi" w:hAnsiTheme="majorHAnsi"/>
          <w:vertAlign w:val="superscript"/>
          <w:lang w:val="en-US" w:eastAsia="zh-CN"/>
        </w:rPr>
        <w:t>31</w:t>
      </w:r>
      <w:r>
        <w:rPr>
          <w:rFonts w:hint="eastAsia" w:eastAsia="宋体" w:cs="Times New Roman" w:asciiTheme="majorHAnsi" w:hAnsiTheme="majorHAnsi"/>
          <w:vertAlign w:val="baseline"/>
          <w:lang w:val="en-US" w:eastAsia="zh-CN"/>
        </w:rPr>
        <w:t>; Xi-Hu Qin, MD</w:t>
      </w:r>
      <w:r>
        <w:rPr>
          <w:rFonts w:hint="eastAsia" w:eastAsia="宋体" w:cs="Times New Roman" w:asciiTheme="majorHAnsi" w:hAnsiTheme="majorHAnsi"/>
          <w:vertAlign w:val="superscript"/>
          <w:lang w:val="en-US" w:eastAsia="zh-CN"/>
        </w:rPr>
        <w:t>32</w:t>
      </w:r>
      <w:r>
        <w:rPr>
          <w:rFonts w:hint="eastAsia" w:eastAsia="宋体" w:cs="Times New Roman" w:asciiTheme="majorHAnsi" w:hAnsiTheme="majorHAnsi"/>
          <w:vertAlign w:val="baseline"/>
          <w:lang w:val="en-US" w:eastAsia="zh-CN"/>
        </w:rPr>
        <w:t>; Qiang Li, MD</w:t>
      </w:r>
      <w:r>
        <w:rPr>
          <w:rFonts w:hint="eastAsia" w:eastAsia="宋体" w:cs="Times New Roman" w:asciiTheme="majorHAnsi" w:hAnsiTheme="majorHAnsi"/>
          <w:vertAlign w:val="superscript"/>
          <w:lang w:val="en-US" w:eastAsia="zh-CN"/>
        </w:rPr>
        <w:t>33</w:t>
      </w:r>
      <w:r>
        <w:rPr>
          <w:rFonts w:hint="eastAsia" w:eastAsia="宋体" w:cs="Times New Roman" w:asciiTheme="majorHAnsi" w:hAnsiTheme="majorHAnsi"/>
          <w:vertAlign w:val="baseline"/>
          <w:lang w:val="en-US" w:eastAsia="zh-CN"/>
        </w:rPr>
        <w:t xml:space="preserve">; </w:t>
      </w:r>
      <w:r>
        <w:rPr>
          <w:rFonts w:cs="Times New Roman" w:asciiTheme="majorHAnsi" w:hAnsiTheme="majorHAnsi"/>
        </w:rPr>
        <w:t>Ping Yin, PhD</w:t>
      </w:r>
      <w:r>
        <w:rPr>
          <w:rFonts w:cs="Times New Roman" w:asciiTheme="majorHAnsi" w:hAnsiTheme="majorHAnsi"/>
          <w:vertAlign w:val="superscript"/>
        </w:rPr>
        <w:t>2*</w:t>
      </w:r>
      <w:r>
        <w:rPr>
          <w:rFonts w:cs="Times New Roman" w:asciiTheme="majorHAnsi" w:hAnsiTheme="majorHAnsi"/>
        </w:rPr>
        <w:t>; Zhi-Wei Zhang, MD</w:t>
      </w:r>
      <w:r>
        <w:rPr>
          <w:rFonts w:cs="Times New Roman" w:asciiTheme="majorHAnsi" w:hAnsiTheme="majorHAnsi"/>
          <w:vertAlign w:val="superscript"/>
        </w:rPr>
        <w:t xml:space="preserve"> </w:t>
      </w:r>
      <w:r>
        <w:rPr>
          <w:rFonts w:hint="eastAsia" w:eastAsia="宋体" w:cs="Times New Roman" w:asciiTheme="majorHAnsi" w:hAnsiTheme="majorHAnsi"/>
          <w:vertAlign w:val="superscript"/>
          <w:lang w:val="en-US" w:eastAsia="zh-CN"/>
        </w:rPr>
        <w:t>3,6,7</w:t>
      </w:r>
      <w:r>
        <w:rPr>
          <w:rFonts w:cs="Times New Roman" w:asciiTheme="majorHAnsi" w:hAnsiTheme="majorHAnsi"/>
          <w:vertAlign w:val="superscript"/>
        </w:rPr>
        <w:t>*</w:t>
      </w:r>
      <w:r>
        <w:rPr>
          <w:rFonts w:cs="Times New Roman" w:asciiTheme="majorHAnsi" w:hAnsiTheme="majorHAnsi"/>
        </w:rPr>
        <w:t>; Xiao-Ping Chen, MD, FACS</w:t>
      </w:r>
      <w:r>
        <w:rPr>
          <w:rFonts w:asciiTheme="majorHAnsi" w:hAnsiTheme="majorHAnsi"/>
          <w:vertAlign w:val="superscript"/>
        </w:rPr>
        <w:t xml:space="preserve"> </w:t>
      </w:r>
      <w:r>
        <w:rPr>
          <w:rFonts w:hint="eastAsia" w:eastAsia="宋体" w:asciiTheme="majorHAnsi" w:hAnsiTheme="majorHAnsi"/>
          <w:vertAlign w:val="superscript"/>
          <w:lang w:val="en-US" w:eastAsia="zh-CN"/>
        </w:rPr>
        <w:t>3,6,7</w:t>
      </w:r>
      <w:r>
        <w:rPr>
          <w:rFonts w:asciiTheme="majorHAnsi" w:hAnsiTheme="majorHAnsi"/>
          <w:vertAlign w:val="superscript"/>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eastAsia" w:cs="Times New Roman" w:asciiTheme="majorHAnsi" w:hAnsiTheme="majorHAnsi"/>
          <w:sz w:val="24"/>
          <w:szCs w:val="24"/>
          <w:lang w:val="en-US" w:eastAsia="zh-CN" w:bidi="ar-SA"/>
        </w:rPr>
      </w:pPr>
      <w:r>
        <w:rPr>
          <w:rFonts w:cs="Times New Roman" w:asciiTheme="majorHAnsi" w:hAnsiTheme="majorHAnsi"/>
        </w:rPr>
        <w:t>Author affliations</w:t>
      </w:r>
      <w:r>
        <w:rPr>
          <w:rFonts w:hint="eastAsia" w:eastAsia="宋体" w:cs="Times New Roman" w:asciiTheme="majorHAnsi" w:hAnsiTheme="majorHAnsi"/>
          <w:lang w:val="en-US" w:eastAsia="zh-CN"/>
        </w:rPr>
        <w:t>:</w:t>
      </w:r>
      <w:r>
        <w:rPr>
          <w:rFonts w:hint="default" w:cs="Times New Roman" w:asciiTheme="majorHAnsi" w:hAnsiTheme="majorHAnsi" w:eastAsiaTheme="minorEastAsia"/>
          <w:sz w:val="24"/>
          <w:szCs w:val="24"/>
          <w:vertAlign w:val="superscript"/>
          <w:lang w:val="en-US" w:eastAsia="zh-CN" w:bidi="ar-SA"/>
        </w:rPr>
        <w:t>1</w:t>
      </w:r>
      <w:r>
        <w:rPr>
          <w:rFonts w:hint="default" w:cs="Times New Roman" w:asciiTheme="majorHAnsi" w:hAnsiTheme="majorHAnsi" w:eastAsiaTheme="minorEastAsia"/>
          <w:sz w:val="24"/>
          <w:szCs w:val="24"/>
          <w:lang w:val="en-US" w:eastAsia="zh-CN" w:bidi="ar-SA"/>
        </w:rPr>
        <w:t>Division of Gastroenterology, Department of Internal Medicine at Tongji Hospital, Tongji Medical College, Huazhong University of Science and Technology</w:t>
      </w:r>
      <w:r>
        <w:rPr>
          <w:rFonts w:hint="default" w:ascii="Source Sans Pro" w:hAnsi="Source Sans Pro" w:eastAsia="Source Sans Pro" w:cs="Source Sans Pro"/>
          <w:i w:val="0"/>
          <w:caps w:val="0"/>
          <w:spacing w:val="0"/>
          <w:sz w:val="24"/>
          <w:szCs w:val="24"/>
          <w:bdr w:val="none" w:color="auto" w:sz="0" w:space="0"/>
          <w:shd w:val="clear" w:fill="FFFFFF"/>
        </w:rPr>
        <w:t xml:space="preserve"> </w:t>
      </w:r>
      <w:r>
        <w:rPr>
          <w:rFonts w:hint="default" w:cs="Times New Roman" w:asciiTheme="majorHAnsi" w:hAnsiTheme="majorHAnsi" w:eastAsiaTheme="minorEastAsia"/>
          <w:sz w:val="24"/>
          <w:szCs w:val="24"/>
          <w:lang w:val="en-US" w:eastAsia="zh-CN" w:bidi="ar-SA"/>
        </w:rPr>
        <w:t>(HUST), Wuhan,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2</w:t>
      </w:r>
      <w:r>
        <w:rPr>
          <w:rFonts w:hint="default" w:cs="Times New Roman" w:asciiTheme="majorHAnsi" w:hAnsiTheme="majorHAnsi" w:eastAsiaTheme="minorEastAsia"/>
          <w:sz w:val="24"/>
          <w:szCs w:val="24"/>
          <w:lang w:val="en-US" w:eastAsia="zh-CN" w:bidi="ar-SA"/>
        </w:rPr>
        <w:t>Department of Epidemiology and Biostatistics and State Key Laboratory of Environment Health, School of Public Health, Tongji Medical College, HUST, Wuhan,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3</w:t>
      </w:r>
      <w:r>
        <w:rPr>
          <w:rFonts w:hint="default" w:cs="Times New Roman" w:asciiTheme="majorHAnsi" w:hAnsiTheme="majorHAnsi" w:eastAsiaTheme="minorEastAsia"/>
          <w:sz w:val="24"/>
          <w:szCs w:val="24"/>
          <w:lang w:val="en-US" w:eastAsia="zh-CN" w:bidi="ar-SA"/>
        </w:rPr>
        <w:t>Hepatic Surgery Centre at Tongji Hospital, Tongji Medical College, HUST, Wuhan,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4</w:t>
      </w:r>
      <w:r>
        <w:rPr>
          <w:rFonts w:hint="default" w:cs="Times New Roman" w:asciiTheme="majorHAnsi" w:hAnsiTheme="majorHAnsi" w:eastAsiaTheme="minorEastAsia"/>
          <w:sz w:val="24"/>
          <w:szCs w:val="24"/>
          <w:lang w:val="en-US" w:eastAsia="zh-CN" w:bidi="ar-SA"/>
        </w:rPr>
        <w:t>Surgery administrator office at Tongji Hospital, Tongji Medical College, Hust, Wuhan,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5</w:t>
      </w:r>
      <w:r>
        <w:rPr>
          <w:rFonts w:hint="default" w:cs="Times New Roman" w:asciiTheme="majorHAnsi" w:hAnsiTheme="majorHAnsi" w:eastAsiaTheme="minorEastAsia"/>
          <w:sz w:val="24"/>
          <w:szCs w:val="24"/>
          <w:lang w:val="en-US" w:eastAsia="zh-CN" w:bidi="ar-SA"/>
        </w:rPr>
        <w:t>Hematology Department, The Newcastle upon Tyne Hospitals NHS Foundation Trust at Freeman Hospital, Newcastle, UK</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6</w:t>
      </w:r>
      <w:r>
        <w:rPr>
          <w:rFonts w:hint="default" w:cs="Times New Roman" w:asciiTheme="majorHAnsi" w:hAnsiTheme="majorHAnsi" w:eastAsiaTheme="minorEastAsia"/>
          <w:sz w:val="24"/>
          <w:szCs w:val="24"/>
          <w:lang w:val="en-US" w:eastAsia="zh-CN" w:bidi="ar-SA"/>
        </w:rPr>
        <w:t>Key Laboratory of Organ Transplantation, Ministry of Education and Ministry of Public Health, Wuhan,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7</w:t>
      </w:r>
      <w:r>
        <w:rPr>
          <w:rFonts w:hint="default" w:cs="Times New Roman" w:asciiTheme="majorHAnsi" w:hAnsiTheme="majorHAnsi" w:eastAsiaTheme="minorEastAsia"/>
          <w:sz w:val="24"/>
          <w:szCs w:val="24"/>
          <w:lang w:val="en-US" w:eastAsia="zh-CN" w:bidi="ar-SA"/>
        </w:rPr>
        <w:t>Hubei Province for the Clinical Medicine Research Center of Hepatic Surgery, Wuhan,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8</w:t>
      </w:r>
      <w:r>
        <w:rPr>
          <w:rFonts w:hint="default" w:cs="Times New Roman" w:asciiTheme="majorHAnsi" w:hAnsiTheme="majorHAnsi" w:eastAsiaTheme="minorEastAsia"/>
          <w:sz w:val="24"/>
          <w:szCs w:val="24"/>
          <w:lang w:val="en-US" w:eastAsia="zh-CN" w:bidi="ar-SA"/>
        </w:rPr>
        <w:t>Surgery Department, First Affiliated Hospital of Sun Yat-Sen University, Guangzhou,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9</w:t>
      </w:r>
      <w:r>
        <w:rPr>
          <w:rFonts w:hint="default" w:cs="Times New Roman" w:asciiTheme="majorHAnsi" w:hAnsiTheme="majorHAnsi" w:eastAsiaTheme="minorEastAsia"/>
          <w:sz w:val="24"/>
          <w:szCs w:val="24"/>
          <w:lang w:val="en-US" w:eastAsia="zh-CN" w:bidi="ar-SA"/>
        </w:rPr>
        <w:t>Surgery Department, First People’s Hospital, Foshan,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10</w:t>
      </w:r>
      <w:r>
        <w:rPr>
          <w:rFonts w:hint="default" w:cs="Times New Roman" w:asciiTheme="majorHAnsi" w:hAnsiTheme="majorHAnsi" w:eastAsiaTheme="minorEastAsia"/>
          <w:sz w:val="24"/>
          <w:szCs w:val="24"/>
          <w:lang w:val="en-US" w:eastAsia="zh-CN" w:bidi="ar-SA"/>
        </w:rPr>
        <w:t>Surgery Department, Cancer Hospital of Chinese Academy of Medical Sciences, Beijing,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11</w:t>
      </w:r>
      <w:r>
        <w:rPr>
          <w:rFonts w:hint="default" w:cs="Times New Roman" w:asciiTheme="majorHAnsi" w:hAnsiTheme="majorHAnsi" w:eastAsiaTheme="minorEastAsia"/>
          <w:sz w:val="24"/>
          <w:szCs w:val="24"/>
          <w:lang w:val="en-US" w:eastAsia="zh-CN" w:bidi="ar-SA"/>
        </w:rPr>
        <w:t>Surgery Department, Nanjing Drum Tower Hospital Affiliated to Nanjing University Medical School, Nanjing,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12</w:t>
      </w:r>
      <w:r>
        <w:rPr>
          <w:rFonts w:hint="default" w:cs="Times New Roman" w:asciiTheme="majorHAnsi" w:hAnsiTheme="majorHAnsi" w:eastAsiaTheme="minorEastAsia"/>
          <w:sz w:val="24"/>
          <w:szCs w:val="24"/>
          <w:lang w:val="en-US" w:eastAsia="zh-CN" w:bidi="ar-SA"/>
        </w:rPr>
        <w:t>Surgery Department, Cancer Hospital Affiliated to Guangxi Medical University, Nanning,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13</w:t>
      </w:r>
      <w:r>
        <w:rPr>
          <w:rFonts w:hint="default" w:cs="Times New Roman" w:asciiTheme="majorHAnsi" w:hAnsiTheme="majorHAnsi" w:eastAsiaTheme="minorEastAsia"/>
          <w:sz w:val="24"/>
          <w:szCs w:val="24"/>
          <w:lang w:val="en-US" w:eastAsia="zh-CN" w:bidi="ar-SA"/>
        </w:rPr>
        <w:t>Surgery Department, Third Affiliated Hospital of Harbin Medical University, Harbin,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14</w:t>
      </w:r>
      <w:r>
        <w:rPr>
          <w:rFonts w:hint="default" w:cs="Times New Roman" w:asciiTheme="majorHAnsi" w:hAnsiTheme="majorHAnsi" w:eastAsiaTheme="minorEastAsia"/>
          <w:sz w:val="24"/>
          <w:szCs w:val="24"/>
          <w:lang w:val="en-US" w:eastAsia="zh-CN" w:bidi="ar-SA"/>
        </w:rPr>
        <w:t>Surgery Department, Wuhan Union Hospital of HUST, Wuhan,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15</w:t>
      </w:r>
      <w:r>
        <w:rPr>
          <w:rFonts w:hint="default" w:cs="Times New Roman" w:asciiTheme="majorHAnsi" w:hAnsiTheme="majorHAnsi" w:eastAsiaTheme="minorEastAsia"/>
          <w:sz w:val="24"/>
          <w:szCs w:val="24"/>
          <w:lang w:val="en-US" w:eastAsia="zh-CN" w:bidi="ar-SA"/>
        </w:rPr>
        <w:t>Surgery Department, Shengli Hospital Affiliated to Anhui Medical University, Hefei,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16</w:t>
      </w:r>
      <w:r>
        <w:rPr>
          <w:rFonts w:hint="default" w:cs="Times New Roman" w:asciiTheme="majorHAnsi" w:hAnsiTheme="majorHAnsi" w:eastAsiaTheme="minorEastAsia"/>
          <w:sz w:val="24"/>
          <w:szCs w:val="24"/>
          <w:lang w:val="en-US" w:eastAsia="zh-CN" w:bidi="ar-SA"/>
        </w:rPr>
        <w:t>Surgery Department, West China Hospital of Sichuan University, Chengdu,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17</w:t>
      </w:r>
      <w:r>
        <w:rPr>
          <w:rFonts w:hint="default" w:cs="Times New Roman" w:asciiTheme="majorHAnsi" w:hAnsiTheme="majorHAnsi" w:eastAsiaTheme="minorEastAsia"/>
          <w:sz w:val="24"/>
          <w:szCs w:val="24"/>
          <w:lang w:val="en-US" w:eastAsia="zh-CN" w:bidi="ar-SA"/>
        </w:rPr>
        <w:t>Surgery Department, Shanghai Eastern Hepatobiliary Surgery Hospital, Shanghai,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18</w:t>
      </w:r>
      <w:r>
        <w:rPr>
          <w:rFonts w:hint="default" w:cs="Times New Roman" w:asciiTheme="majorHAnsi" w:hAnsiTheme="majorHAnsi" w:eastAsiaTheme="minorEastAsia"/>
          <w:sz w:val="24"/>
          <w:szCs w:val="24"/>
          <w:lang w:val="en-US" w:eastAsia="zh-CN" w:bidi="ar-SA"/>
        </w:rPr>
        <w:t>Surgery Department, Chinese PLA General Hospital of Medical School of Chinese PLA, Beijing,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19</w:t>
      </w:r>
      <w:r>
        <w:rPr>
          <w:rFonts w:hint="default" w:cs="Times New Roman" w:asciiTheme="majorHAnsi" w:hAnsiTheme="majorHAnsi" w:eastAsiaTheme="minorEastAsia"/>
          <w:sz w:val="24"/>
          <w:szCs w:val="24"/>
          <w:lang w:val="en-US" w:eastAsia="zh-CN" w:bidi="ar-SA"/>
        </w:rPr>
        <w:t>Surgery Department, Cancer Hospital Affiliated to Xinjiang Medical University, Urumqi,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20</w:t>
      </w:r>
      <w:r>
        <w:rPr>
          <w:rFonts w:hint="default" w:cs="Times New Roman" w:asciiTheme="majorHAnsi" w:hAnsiTheme="majorHAnsi" w:eastAsiaTheme="minorEastAsia"/>
          <w:sz w:val="24"/>
          <w:szCs w:val="24"/>
          <w:lang w:val="en-US" w:eastAsia="zh-CN" w:bidi="ar-SA"/>
        </w:rPr>
        <w:t>Surgery Department, First Affiliated Hospital of Xinjiang Medical University, Urumqi,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21</w:t>
      </w:r>
      <w:r>
        <w:rPr>
          <w:rFonts w:hint="default" w:cs="Times New Roman" w:asciiTheme="majorHAnsi" w:hAnsiTheme="majorHAnsi" w:eastAsiaTheme="minorEastAsia"/>
          <w:sz w:val="24"/>
          <w:szCs w:val="24"/>
          <w:lang w:val="en-US" w:eastAsia="zh-CN" w:bidi="ar-SA"/>
        </w:rPr>
        <w:t>Surgery Department, First Affiliated Hospital of Shihezi University School of Medicine, Shihezi,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22</w:t>
      </w:r>
      <w:r>
        <w:rPr>
          <w:rFonts w:hint="default" w:cs="Times New Roman" w:asciiTheme="majorHAnsi" w:hAnsiTheme="majorHAnsi" w:eastAsiaTheme="minorEastAsia"/>
          <w:sz w:val="24"/>
          <w:szCs w:val="24"/>
          <w:lang w:val="en-US" w:eastAsia="zh-CN" w:bidi="ar-SA"/>
        </w:rPr>
        <w:t>Surgery Department, China and Japan Union Hospital of Jilin Hospital, Changchun,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23</w:t>
      </w:r>
      <w:r>
        <w:rPr>
          <w:rFonts w:hint="default" w:cs="Times New Roman" w:asciiTheme="majorHAnsi" w:hAnsiTheme="majorHAnsi" w:eastAsiaTheme="minorEastAsia"/>
          <w:sz w:val="24"/>
          <w:szCs w:val="24"/>
          <w:lang w:val="en-US" w:eastAsia="zh-CN" w:bidi="ar-SA"/>
        </w:rPr>
        <w:t>Surgery Department, Shengjing Hospital of China Medial University, Shenyang,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24</w:t>
      </w:r>
      <w:r>
        <w:rPr>
          <w:rFonts w:hint="default" w:cs="Times New Roman" w:asciiTheme="majorHAnsi" w:hAnsiTheme="majorHAnsi" w:eastAsiaTheme="minorEastAsia"/>
          <w:sz w:val="24"/>
          <w:szCs w:val="24"/>
          <w:lang w:val="en-US" w:eastAsia="zh-CN" w:bidi="ar-SA"/>
        </w:rPr>
        <w:t>Surgery Department, Southwest University Hospital, Chongqing,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25</w:t>
      </w:r>
      <w:r>
        <w:rPr>
          <w:rFonts w:hint="default" w:cs="Times New Roman" w:asciiTheme="majorHAnsi" w:hAnsiTheme="majorHAnsi" w:eastAsiaTheme="minorEastAsia"/>
          <w:sz w:val="24"/>
          <w:szCs w:val="24"/>
          <w:lang w:val="en-US" w:eastAsia="zh-CN" w:bidi="ar-SA"/>
        </w:rPr>
        <w:t>Surgery Department, Beijing Cancer Hospital, Beijing,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26</w:t>
      </w:r>
      <w:r>
        <w:rPr>
          <w:rFonts w:hint="default" w:cs="Times New Roman" w:asciiTheme="majorHAnsi" w:hAnsiTheme="majorHAnsi" w:eastAsiaTheme="minorEastAsia"/>
          <w:sz w:val="24"/>
          <w:szCs w:val="24"/>
          <w:lang w:val="en-US" w:eastAsia="zh-CN" w:bidi="ar-SA"/>
        </w:rPr>
        <w:t>Surgery Department, Shanghai Changzheng Hospital, Shanghai,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27</w:t>
      </w:r>
      <w:r>
        <w:rPr>
          <w:rFonts w:hint="default" w:cs="Times New Roman" w:asciiTheme="majorHAnsi" w:hAnsiTheme="majorHAnsi" w:eastAsiaTheme="minorEastAsia"/>
          <w:sz w:val="24"/>
          <w:szCs w:val="24"/>
          <w:lang w:val="en-US" w:eastAsia="zh-CN" w:bidi="ar-SA"/>
        </w:rPr>
        <w:t>Surgery Department, First Affiliated Hospital of Harbin Medical University, Harbin,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28</w:t>
      </w:r>
      <w:r>
        <w:rPr>
          <w:rFonts w:hint="default" w:cs="Times New Roman" w:asciiTheme="majorHAnsi" w:hAnsiTheme="majorHAnsi" w:eastAsiaTheme="minorEastAsia"/>
          <w:sz w:val="24"/>
          <w:szCs w:val="24"/>
          <w:lang w:val="en-US" w:eastAsia="zh-CN" w:bidi="ar-SA"/>
        </w:rPr>
        <w:t>Surgery Department, Beijing Ditan Hospital Affiliated to Capital Medical University, Beijing,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29</w:t>
      </w:r>
      <w:r>
        <w:rPr>
          <w:rFonts w:hint="default" w:cs="Times New Roman" w:asciiTheme="majorHAnsi" w:hAnsiTheme="majorHAnsi" w:eastAsiaTheme="minorEastAsia"/>
          <w:sz w:val="24"/>
          <w:szCs w:val="24"/>
          <w:lang w:val="en-US" w:eastAsia="zh-CN" w:bidi="ar-SA"/>
        </w:rPr>
        <w:t>Surgery Department, Henan Cancer Hospital Affiliated to Zhengzhou University, Zhengzhou,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30</w:t>
      </w:r>
      <w:r>
        <w:rPr>
          <w:rFonts w:hint="default" w:cs="Times New Roman" w:asciiTheme="majorHAnsi" w:hAnsiTheme="majorHAnsi" w:eastAsiaTheme="minorEastAsia"/>
          <w:sz w:val="24"/>
          <w:szCs w:val="24"/>
          <w:lang w:val="en-US" w:eastAsia="zh-CN" w:bidi="ar-SA"/>
        </w:rPr>
        <w:t>Surgery Department, Guangxi Liuzhou Worker’s Hospital, Liuzhou,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31</w:t>
      </w:r>
      <w:r>
        <w:rPr>
          <w:rFonts w:hint="default" w:cs="Times New Roman" w:asciiTheme="majorHAnsi" w:hAnsiTheme="majorHAnsi" w:eastAsiaTheme="minorEastAsia"/>
          <w:sz w:val="24"/>
          <w:szCs w:val="24"/>
          <w:lang w:val="en-US" w:eastAsia="zh-CN" w:bidi="ar-SA"/>
        </w:rPr>
        <w:t>Surgery Department, Taihe Hospital Affiliated to Hubei University of Medicine, Shiyan,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32</w:t>
      </w:r>
      <w:r>
        <w:rPr>
          <w:rFonts w:hint="default" w:cs="Times New Roman" w:asciiTheme="majorHAnsi" w:hAnsiTheme="majorHAnsi" w:eastAsiaTheme="minorEastAsia"/>
          <w:sz w:val="24"/>
          <w:szCs w:val="24"/>
          <w:lang w:val="en-US" w:eastAsia="zh-CN" w:bidi="ar-SA"/>
        </w:rPr>
        <w:t>Surgery Department, First Affiliated Hospital of Suzhou Medical University, Suzhou,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33</w:t>
      </w:r>
      <w:r>
        <w:rPr>
          <w:rFonts w:hint="default" w:cs="Times New Roman" w:asciiTheme="majorHAnsi" w:hAnsiTheme="majorHAnsi" w:eastAsiaTheme="minorEastAsia"/>
          <w:sz w:val="24"/>
          <w:szCs w:val="24"/>
          <w:lang w:val="en-US" w:eastAsia="zh-CN" w:bidi="ar-SA"/>
        </w:rPr>
        <w:t>Surgery Department, Tianjin No.3 Hospital, Tianjin,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34</w:t>
      </w:r>
      <w:r>
        <w:rPr>
          <w:rFonts w:hint="default" w:cs="Times New Roman" w:asciiTheme="majorHAnsi" w:hAnsiTheme="majorHAnsi" w:eastAsiaTheme="minorEastAsia"/>
          <w:sz w:val="24"/>
          <w:szCs w:val="24"/>
          <w:lang w:val="en-US" w:eastAsia="zh-CN" w:bidi="ar-SA"/>
        </w:rPr>
        <w:t>Surgery Branch at the Hospital of Infectious and Contagious Diseases Affiliated to Fujian Medical University, Fuzhou,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35</w:t>
      </w:r>
      <w:r>
        <w:rPr>
          <w:rFonts w:hint="default" w:cs="Times New Roman" w:asciiTheme="majorHAnsi" w:hAnsiTheme="majorHAnsi" w:eastAsiaTheme="minorEastAsia"/>
          <w:sz w:val="24"/>
          <w:szCs w:val="24"/>
          <w:lang w:val="en-US" w:eastAsia="zh-CN" w:bidi="ar-SA"/>
        </w:rPr>
        <w:t>Surgery Department, Third People’s Hospital of Changzhou, Changzhou, China</w:t>
      </w:r>
      <w:r>
        <w:rPr>
          <w:rFonts w:hint="eastAsia" w:cs="Times New Roman" w:asciiTheme="majorHAnsi" w:hAnsiTheme="majorHAnsi"/>
          <w:sz w:val="24"/>
          <w:szCs w:val="24"/>
          <w:lang w:val="en-US" w:eastAsia="zh-CN" w:bidi="ar-SA"/>
        </w:rPr>
        <w:t xml:space="preserve">; </w:t>
      </w:r>
      <w:r>
        <w:rPr>
          <w:rFonts w:hint="default" w:cs="Times New Roman" w:asciiTheme="majorHAnsi" w:hAnsiTheme="majorHAnsi" w:eastAsiaTheme="minorEastAsia"/>
          <w:sz w:val="24"/>
          <w:szCs w:val="24"/>
          <w:vertAlign w:val="superscript"/>
          <w:lang w:val="en-US" w:eastAsia="zh-CN" w:bidi="ar-SA"/>
        </w:rPr>
        <w:t>36</w:t>
      </w:r>
      <w:r>
        <w:rPr>
          <w:rFonts w:hint="default" w:cs="Times New Roman" w:asciiTheme="majorHAnsi" w:hAnsiTheme="majorHAnsi" w:eastAsiaTheme="minorEastAsia"/>
          <w:sz w:val="24"/>
          <w:szCs w:val="24"/>
          <w:lang w:val="en-US" w:eastAsia="zh-CN" w:bidi="ar-SA"/>
        </w:rPr>
        <w:t>Surgery Department, Tianjin Medical University Cancer Institute and Hospital (TMUCIH), Tianjin, China</w:t>
      </w:r>
      <w:r>
        <w:rPr>
          <w:rFonts w:hint="eastAsia" w:cs="Times New Roman" w:asciiTheme="majorHAnsi" w:hAnsiTheme="majorHAnsi"/>
          <w:sz w:val="24"/>
          <w:szCs w:val="24"/>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cs="Times New Roman" w:asciiTheme="majorHAnsi" w:hAnsiTheme="majorHAnsi" w:eastAsiaTheme="minorEastAsia"/>
          <w:sz w:val="24"/>
          <w:szCs w:val="24"/>
          <w:lang w:val="en-US" w:eastAsia="zh-CN" w:bidi="ar-SA"/>
        </w:rPr>
      </w:pPr>
      <w:r>
        <w:rPr>
          <w:rFonts w:hint="default" w:cs="Times New Roman" w:asciiTheme="majorHAnsi" w:hAnsiTheme="majorHAnsi" w:eastAsiaTheme="minorEastAsia"/>
          <w:sz w:val="24"/>
          <w:szCs w:val="24"/>
          <w:lang w:val="en-US" w:eastAsia="zh-CN" w:bidi="ar-SA"/>
        </w:rPr>
        <w:t xml:space="preserve">*Corresponding author: Professor Ping Ying, Zhi-Wei Zhang and Xiao-Ping Chen, Tongji Hospital of Tongji Medical College of HUST, Jie Fang Avenue 1095, Wuhan 430030, P.R. China; Tel: +86 27-83663500; Fax: +86 27-83663500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default" w:cs="Times New Roman" w:asciiTheme="majorHAnsi" w:hAnsiTheme="majorHAnsi" w:eastAsiaTheme="minorEastAsia"/>
          <w:sz w:val="24"/>
          <w:szCs w:val="24"/>
          <w:lang w:val="en-US" w:eastAsia="zh-CN" w:bidi="ar-SA"/>
        </w:rPr>
      </w:pPr>
      <w:r>
        <w:rPr>
          <w:rFonts w:hint="default" w:cs="Times New Roman" w:asciiTheme="majorHAnsi" w:hAnsiTheme="majorHAnsi" w:eastAsiaTheme="minorEastAsia"/>
          <w:sz w:val="24"/>
          <w:szCs w:val="24"/>
          <w:lang w:val="en-US" w:eastAsia="zh-CN" w:bidi="ar-SA"/>
        </w:rPr>
        <w:t>Chen Q</w:t>
      </w:r>
      <w:r>
        <w:rPr>
          <w:rFonts w:hint="default" w:cs="Times New Roman" w:asciiTheme="majorHAnsi" w:hAnsiTheme="majorHAnsi" w:eastAsiaTheme="minorEastAsia"/>
          <w:sz w:val="24"/>
          <w:szCs w:val="24"/>
          <w:vertAlign w:val="superscript"/>
          <w:lang w:val="en-US" w:eastAsia="zh-CN" w:bidi="ar-SA"/>
        </w:rPr>
        <w:t xml:space="preserve"># </w:t>
      </w:r>
      <w:r>
        <w:rPr>
          <w:rFonts w:hint="default" w:cs="Times New Roman" w:asciiTheme="majorHAnsi" w:hAnsiTheme="majorHAnsi" w:eastAsiaTheme="minorEastAsia"/>
          <w:sz w:val="24"/>
          <w:szCs w:val="24"/>
          <w:lang w:val="en-US" w:eastAsia="zh-CN" w:bidi="ar-SA"/>
        </w:rPr>
        <w:t>and Shu C</w:t>
      </w:r>
      <w:r>
        <w:rPr>
          <w:rFonts w:hint="default" w:cs="Times New Roman" w:asciiTheme="majorHAnsi" w:hAnsiTheme="majorHAnsi" w:eastAsiaTheme="minorEastAsia"/>
          <w:sz w:val="24"/>
          <w:szCs w:val="24"/>
          <w:vertAlign w:val="superscript"/>
          <w:lang w:val="en-US" w:eastAsia="zh-CN" w:bidi="ar-SA"/>
        </w:rPr>
        <w:t>#</w:t>
      </w:r>
      <w:r>
        <w:rPr>
          <w:rFonts w:hint="default" w:cs="Times New Roman" w:asciiTheme="majorHAnsi" w:hAnsiTheme="majorHAnsi" w:eastAsiaTheme="minorEastAsia"/>
          <w:sz w:val="24"/>
          <w:szCs w:val="24"/>
          <w:lang w:val="en-US" w:eastAsia="zh-CN" w:bidi="ar-SA"/>
        </w:rPr>
        <w:t xml:space="preserve"> : contributed equally to this manuscript.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00" w:lineRule="atLeast"/>
        <w:ind w:left="0" w:right="0" w:firstLine="0"/>
        <w:jc w:val="both"/>
        <w:rPr>
          <w:rFonts w:hint="eastAsia" w:cs="Times New Roman" w:asciiTheme="majorHAnsi" w:hAnsiTheme="majorHAnsi" w:eastAsiaTheme="minorEastAsia"/>
          <w:sz w:val="24"/>
          <w:szCs w:val="24"/>
          <w:lang w:val="en-US" w:eastAsia="zh-CN" w:bidi="ar-SA"/>
        </w:rPr>
      </w:pPr>
      <w:r>
        <w:rPr>
          <w:rFonts w:hint="default" w:cs="Times New Roman" w:asciiTheme="majorHAnsi" w:hAnsiTheme="majorHAnsi" w:eastAsiaTheme="minorEastAsia"/>
          <w:sz w:val="24"/>
          <w:szCs w:val="24"/>
          <w:lang w:val="en-US" w:eastAsia="zh-CN" w:bidi="ar-SA"/>
        </w:rPr>
        <w:t>Correspondence to Email: Yin P (pingyin2000@126.com); Zhang Z-W (zwzhang@tjh.tjmu.edu.cn); Chen X-P (chenxpchenxp@163.com).</w:t>
      </w:r>
    </w:p>
    <w:p>
      <w:pPr>
        <w:spacing w:before="100" w:beforeAutospacing="1" w:after="100" w:afterAutospacing="1" w:line="480" w:lineRule="auto"/>
        <w:jc w:val="center"/>
        <w:rPr>
          <w:rFonts w:cs="ScalaLancetPro" w:asciiTheme="majorHAnsi" w:hAnsiTheme="majorHAnsi"/>
          <w:b/>
          <w:lang w:eastAsia="en-US"/>
        </w:rPr>
      </w:pPr>
    </w:p>
    <w:p>
      <w:pPr>
        <w:spacing w:before="100" w:beforeAutospacing="1" w:after="100" w:afterAutospacing="1" w:line="480" w:lineRule="auto"/>
        <w:jc w:val="center"/>
        <w:rPr>
          <w:rFonts w:cs="ScalaLancetPro" w:asciiTheme="majorHAnsi" w:hAnsiTheme="majorHAnsi"/>
          <w:b/>
          <w:lang w:eastAsia="en-US"/>
        </w:rPr>
      </w:pPr>
      <w:r>
        <w:rPr>
          <w:rFonts w:cs="ScalaLancetPro" w:asciiTheme="majorHAnsi" w:hAnsiTheme="majorHAnsi"/>
          <w:b/>
          <w:lang w:eastAsia="en-US"/>
        </w:rPr>
        <w:t>Supplemental Material</w:t>
      </w:r>
    </w:p>
    <w:p>
      <w:pPr>
        <w:spacing w:before="100" w:beforeAutospacing="1" w:after="100" w:afterAutospacing="1" w:line="480" w:lineRule="auto"/>
        <w:jc w:val="both"/>
        <w:rPr>
          <w:rFonts w:cs="ScalaLancetPro" w:asciiTheme="majorHAnsi" w:hAnsiTheme="majorHAnsi"/>
          <w:lang w:eastAsia="en-US"/>
        </w:rPr>
      </w:pPr>
      <w:r>
        <w:rPr>
          <w:rFonts w:cs="ScalaLancetPro" w:asciiTheme="majorHAnsi" w:hAnsiTheme="majorHAnsi"/>
          <w:lang w:eastAsia="en-US"/>
        </w:rPr>
        <w:t>Site distribution and patient number were as follows: Tongji Hospital of HUST (69), Wuhan; Southwest University Hospital (25), Chongqing; the First Affiliated Hospital of Harbin Medical University (23), Harbin; the Third Affiliated Hospital of Harbin Medical University (44), Harbin; Shengli Hospital Affiliated to Anhui Medical University (36), Hefei; Taihe Hospital Affiliated to Hubei University of Medicine (20), Shiyan; Wuhan Union Hospital of HUST (39), Wuhan; Cancer Hospital Affiliated to Xinjiang Medical University (27), Urumqi; the First Affiliated Hospital of Shihezi University School of Medicine (26), Shihezi; Cancer Hospital of Chinese Academy of Medical Sciences (51), Beijing; Cancer Hospital Affiliated to Guangxi Medical University (45), Nanning; the First Affiliated Hospital of Suzhou Medical University (19), Suzhou; Guangxi Liuzhou Worker’s Hospital (22), Liuzhou; the First Affiliated Hospital of Sun Yat-Sen University (77), Guangzhou; Chinese Arsenal and Police (Wujing) General Hospital (6), Beijing; the First Affiliated Hospital of Xinjiang Medical University (27), Urumqi; the First People’s Hospital (53), Foshan; the Second People’s Hospital (4), Shenzhen; Tanjin No.3 Hospital (17), Tianjin; Beijing Ditan Hospital Affiliated to Capital Medical University (23), Beijing; Hubei Cancer Hospital (2), Wuhan; China and Japan Union Hospital of Jilin Hospital (25), Changchun; Shengjing Hospital of China Medial University (25), Shenyang; Chinese PLA General Hospital of Medical School of Chinese PLA (32), Beijing; West China Hospital of Sichuan University (36), Chengdu; Nanjing Drum Tower Hospital Affiliated to Nanjing University Medical School (45), Nanjing; the Second Xiangya Hospital of Central South University (9), Changsha; Shanghai Changzheng Hospital (23), Shanghai; Beijing Cancer Hospital (24), Beijing; Henan Cancer Hospital Affiliated to Zhengzhou University (22), Zhengzhou; the Second Affiliated Hospital of Zhejiang University School of Medicine (4), Hangzhou; Hospital of Infectious and Contagious Diseases Affiliated to Fujian Medical University (16), Fuzhou; Shanghai Eastern Hepatobiliary Surgery Hospital (34), Shanghai; Tianjin Medical University Cancer Institute &amp; Hospital (TMUCIH) (13), Tianjin; the Affiliated Hospital of Guizhou Medical University (6), Guiyang;</w:t>
      </w:r>
      <w:r>
        <w:rPr>
          <w:rFonts w:hint="eastAsia" w:cs="ScalaLancetPro" w:asciiTheme="majorHAnsi" w:hAnsiTheme="majorHAnsi"/>
          <w:lang w:eastAsia="en-US"/>
        </w:rPr>
        <w:t xml:space="preserve"> </w:t>
      </w:r>
      <w:r>
        <w:rPr>
          <w:rFonts w:cs="ScalaLancetPro" w:asciiTheme="majorHAnsi" w:hAnsiTheme="majorHAnsi"/>
          <w:lang w:eastAsia="en-US"/>
        </w:rPr>
        <w:t xml:space="preserve">Fujian Cancer Hospital </w:t>
      </w:r>
      <w:r>
        <w:rPr>
          <w:rFonts w:hint="eastAsia" w:cs="ScalaLancetPro" w:asciiTheme="majorHAnsi" w:hAnsiTheme="majorHAnsi"/>
          <w:lang w:eastAsia="en-US"/>
        </w:rPr>
        <w:t>(</w:t>
      </w:r>
      <w:r>
        <w:rPr>
          <w:rFonts w:cs="ScalaLancetPro" w:asciiTheme="majorHAnsi" w:hAnsiTheme="majorHAnsi"/>
          <w:lang w:eastAsia="en-US"/>
        </w:rPr>
        <w:t>9</w:t>
      </w:r>
      <w:r>
        <w:rPr>
          <w:rFonts w:hint="eastAsia" w:cs="ScalaLancetPro" w:asciiTheme="majorHAnsi" w:hAnsiTheme="majorHAnsi"/>
          <w:lang w:eastAsia="en-US"/>
        </w:rPr>
        <w:t>)</w:t>
      </w:r>
      <w:r>
        <w:rPr>
          <w:rFonts w:cs="ScalaLancetPro" w:asciiTheme="majorHAnsi" w:hAnsiTheme="majorHAnsi"/>
          <w:lang w:eastAsia="en-US"/>
        </w:rPr>
        <w:t>, Fuzhou; Changzhou TCM Hospital (1), Changzhou; Lingzhe Cancer Hospital (7), Lingzhe; Third People’s Hospital of Changzhou (16), Changzhou.</w:t>
      </w:r>
    </w:p>
    <w:p>
      <w:pPr>
        <w:autoSpaceDE w:val="0"/>
        <w:autoSpaceDN w:val="0"/>
        <w:adjustRightInd w:val="0"/>
        <w:jc w:val="both"/>
        <w:rPr>
          <w:rFonts w:cs="Times New Roman" w:asciiTheme="majorHAnsi" w:hAnsiTheme="majorHAnsi"/>
          <w:b/>
        </w:rPr>
      </w:pPr>
    </w:p>
    <w:p>
      <w:pPr>
        <w:autoSpaceDE w:val="0"/>
        <w:autoSpaceDN w:val="0"/>
        <w:adjustRightInd w:val="0"/>
        <w:jc w:val="both"/>
        <w:rPr>
          <w:rFonts w:cs="Times New Roman" w:asciiTheme="majorHAnsi" w:hAnsiTheme="majorHAnsi"/>
          <w:b/>
        </w:rPr>
      </w:pPr>
    </w:p>
    <w:p>
      <w:pPr>
        <w:autoSpaceDE w:val="0"/>
        <w:autoSpaceDN w:val="0"/>
        <w:adjustRightInd w:val="0"/>
        <w:jc w:val="both"/>
        <w:rPr>
          <w:rFonts w:cs="Times New Roman" w:asciiTheme="majorHAnsi" w:hAnsiTheme="majorHAnsi"/>
          <w:b/>
        </w:rPr>
      </w:pPr>
    </w:p>
    <w:p>
      <w:pPr>
        <w:autoSpaceDE w:val="0"/>
        <w:autoSpaceDN w:val="0"/>
        <w:adjustRightInd w:val="0"/>
        <w:jc w:val="both"/>
        <w:rPr>
          <w:rFonts w:cs="Times New Roman" w:asciiTheme="majorHAnsi" w:hAnsiTheme="majorHAnsi"/>
          <w:b/>
        </w:rPr>
      </w:pPr>
    </w:p>
    <w:p>
      <w:pPr>
        <w:autoSpaceDE w:val="0"/>
        <w:autoSpaceDN w:val="0"/>
        <w:adjustRightInd w:val="0"/>
        <w:jc w:val="both"/>
        <w:rPr>
          <w:rFonts w:cs="Times New Roman" w:asciiTheme="majorHAnsi" w:hAnsiTheme="majorHAnsi"/>
          <w:b/>
        </w:rPr>
      </w:pPr>
    </w:p>
    <w:p>
      <w:pPr>
        <w:autoSpaceDE w:val="0"/>
        <w:autoSpaceDN w:val="0"/>
        <w:adjustRightInd w:val="0"/>
        <w:jc w:val="both"/>
        <w:rPr>
          <w:rFonts w:cs="Times New Roman" w:asciiTheme="majorHAnsi" w:hAnsiTheme="majorHAnsi"/>
          <w:b/>
        </w:rPr>
      </w:pPr>
    </w:p>
    <w:p>
      <w:pPr>
        <w:autoSpaceDE w:val="0"/>
        <w:autoSpaceDN w:val="0"/>
        <w:adjustRightInd w:val="0"/>
        <w:jc w:val="both"/>
        <w:rPr>
          <w:rFonts w:cs="Times New Roman" w:asciiTheme="majorHAnsi" w:hAnsiTheme="majorHAnsi"/>
          <w:b/>
        </w:rPr>
      </w:pPr>
    </w:p>
    <w:p>
      <w:pPr>
        <w:autoSpaceDE w:val="0"/>
        <w:autoSpaceDN w:val="0"/>
        <w:adjustRightInd w:val="0"/>
        <w:jc w:val="both"/>
        <w:rPr>
          <w:rFonts w:cs="Times New Roman" w:asciiTheme="majorHAnsi" w:hAnsiTheme="majorHAnsi"/>
          <w:b/>
        </w:rPr>
      </w:pPr>
    </w:p>
    <w:p>
      <w:pPr>
        <w:autoSpaceDE w:val="0"/>
        <w:autoSpaceDN w:val="0"/>
        <w:adjustRightInd w:val="0"/>
        <w:jc w:val="both"/>
        <w:rPr>
          <w:rFonts w:cs="Times New Roman" w:asciiTheme="majorHAnsi" w:hAnsiTheme="majorHAnsi"/>
          <w:b/>
        </w:rPr>
      </w:pPr>
    </w:p>
    <w:p>
      <w:pPr>
        <w:widowControl w:val="0"/>
        <w:autoSpaceDE w:val="0"/>
        <w:autoSpaceDN w:val="0"/>
        <w:adjustRightInd w:val="0"/>
        <w:jc w:val="both"/>
        <w:rPr>
          <w:rFonts w:cs="ScalaLancetPro" w:asciiTheme="majorHAnsi" w:hAnsiTheme="majorHAnsi"/>
          <w:lang w:eastAsia="en-US"/>
        </w:rPr>
      </w:pPr>
      <w:r>
        <w:rPr>
          <w:rFonts w:cs="Times New Roman" w:asciiTheme="majorHAnsi" w:hAnsiTheme="majorHAnsi"/>
          <w:b/>
        </w:rPr>
        <w:t xml:space="preserve">Supplementary Table 1. </w:t>
      </w:r>
      <w:r>
        <w:rPr>
          <w:rFonts w:cs="ScalaLancetPro" w:asciiTheme="majorHAnsi" w:hAnsiTheme="majorHAnsi"/>
          <w:lang w:eastAsia="en-US"/>
        </w:rPr>
        <w:t>Schoenfeld residual test for assessment of proportional hazard assumption</w:t>
      </w:r>
    </w:p>
    <w:p>
      <w:pPr>
        <w:widowControl w:val="0"/>
        <w:autoSpaceDE w:val="0"/>
        <w:autoSpaceDN w:val="0"/>
        <w:adjustRightInd w:val="0"/>
        <w:jc w:val="both"/>
        <w:rPr>
          <w:rFonts w:cs="Times New Roman" w:asciiTheme="majorHAnsi" w:hAnsiTheme="majorHAnsi"/>
          <w:b/>
        </w:rPr>
      </w:pPr>
    </w:p>
    <w:tbl>
      <w:tblPr>
        <w:tblStyle w:val="6"/>
        <w:tblW w:w="4710" w:type="dxa"/>
        <w:tblInd w:w="75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20"/>
        <w:gridCol w:w="830"/>
        <w:gridCol w:w="830"/>
        <w:gridCol w:w="83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220" w:type="dxa"/>
            <w:tcBorders>
              <w:top w:val="single" w:color="auto" w:sz="4" w:space="0"/>
              <w:bottom w:val="single" w:color="auto" w:sz="4" w:space="0"/>
            </w:tcBorders>
            <w:shd w:val="clear" w:color="auto" w:fill="auto"/>
          </w:tcPr>
          <w:p>
            <w:pPr>
              <w:jc w:val="center"/>
              <w:rPr>
                <w:rFonts w:cs="ScalaLancetPro" w:asciiTheme="majorHAnsi" w:hAnsiTheme="majorHAnsi"/>
                <w:sz w:val="22"/>
                <w:szCs w:val="22"/>
                <w:lang w:eastAsia="en-US"/>
              </w:rPr>
            </w:pPr>
          </w:p>
        </w:tc>
        <w:tc>
          <w:tcPr>
            <w:tcW w:w="830" w:type="dxa"/>
            <w:tcBorders>
              <w:top w:val="single" w:color="auto" w:sz="4" w:space="0"/>
              <w:bottom w:val="single" w:color="auto" w:sz="4" w:space="0"/>
            </w:tcBorders>
            <w:shd w:val="clear" w:color="auto" w:fill="auto"/>
          </w:tcPr>
          <w:p>
            <w:pPr>
              <w:jc w:val="center"/>
              <w:rPr>
                <w:rFonts w:cs="ScalaLancetPro" w:asciiTheme="majorHAnsi" w:hAnsiTheme="majorHAnsi"/>
                <w:sz w:val="22"/>
                <w:szCs w:val="22"/>
                <w:lang w:eastAsia="en-US"/>
              </w:rPr>
            </w:pPr>
            <w:r>
              <w:rPr>
                <w:rFonts w:cs="ScalaLancetPro" w:asciiTheme="majorHAnsi" w:hAnsiTheme="majorHAnsi"/>
                <w:sz w:val="22"/>
                <w:szCs w:val="22"/>
                <w:lang w:eastAsia="en-US"/>
              </w:rPr>
              <w:t>RFS</w:t>
            </w:r>
          </w:p>
        </w:tc>
        <w:tc>
          <w:tcPr>
            <w:tcW w:w="830" w:type="dxa"/>
            <w:tcBorders>
              <w:top w:val="single" w:color="auto" w:sz="4" w:space="0"/>
              <w:bottom w:val="single" w:color="auto" w:sz="4" w:space="0"/>
            </w:tcBorders>
            <w:shd w:val="clear" w:color="auto" w:fill="auto"/>
          </w:tcPr>
          <w:p>
            <w:pPr>
              <w:jc w:val="center"/>
              <w:rPr>
                <w:rFonts w:cs="ScalaLancetPro" w:asciiTheme="majorHAnsi" w:hAnsiTheme="majorHAnsi"/>
                <w:sz w:val="22"/>
                <w:szCs w:val="22"/>
                <w:lang w:eastAsia="en-US"/>
              </w:rPr>
            </w:pPr>
            <w:r>
              <w:rPr>
                <w:rFonts w:cs="ScalaLancetPro" w:asciiTheme="majorHAnsi" w:hAnsiTheme="majorHAnsi"/>
                <w:sz w:val="22"/>
                <w:szCs w:val="22"/>
                <w:lang w:eastAsia="en-US"/>
              </w:rPr>
              <w:t>OS</w:t>
            </w:r>
          </w:p>
        </w:tc>
        <w:tc>
          <w:tcPr>
            <w:tcW w:w="830" w:type="dxa"/>
            <w:tcBorders>
              <w:top w:val="single" w:color="auto" w:sz="4" w:space="0"/>
              <w:bottom w:val="single" w:color="auto" w:sz="4" w:space="0"/>
            </w:tcBorders>
            <w:shd w:val="clear" w:color="auto" w:fill="auto"/>
          </w:tcPr>
          <w:p>
            <w:pPr>
              <w:jc w:val="center"/>
              <w:rPr>
                <w:rFonts w:cs="ScalaLancetPro" w:asciiTheme="majorHAnsi" w:hAnsiTheme="majorHAnsi"/>
                <w:sz w:val="22"/>
                <w:szCs w:val="22"/>
                <w:lang w:eastAsia="en-US"/>
              </w:rPr>
            </w:pPr>
            <w:r>
              <w:rPr>
                <w:rFonts w:cs="ScalaLancetPro" w:asciiTheme="majorHAnsi" w:hAnsiTheme="majorHAnsi"/>
                <w:sz w:val="22"/>
                <w:szCs w:val="22"/>
                <w:lang w:eastAsia="en-US"/>
              </w:rPr>
              <w:t>ERFS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220" w:type="dxa"/>
            <w:tcBorders>
              <w:top w:val="single" w:color="auto" w:sz="4" w:space="0"/>
              <w:bottom w:val="single" w:color="D8D8D8" w:themeColor="background1" w:themeShade="D9" w:sz="4" w:space="0"/>
            </w:tcBorders>
            <w:shd w:val="clear" w:color="auto" w:fill="auto"/>
          </w:tcPr>
          <w:p>
            <w:pPr>
              <w:rPr>
                <w:rFonts w:cs="ScalaLancetPro" w:asciiTheme="majorHAnsi" w:hAnsiTheme="majorHAnsi"/>
                <w:sz w:val="22"/>
                <w:szCs w:val="22"/>
                <w:lang w:eastAsia="en-US"/>
              </w:rPr>
            </w:pPr>
            <w:r>
              <w:rPr>
                <w:rFonts w:cs="ScalaLancetPro" w:asciiTheme="majorHAnsi" w:hAnsiTheme="majorHAnsi"/>
                <w:sz w:val="22"/>
                <w:szCs w:val="22"/>
                <w:lang w:eastAsia="en-US"/>
              </w:rPr>
              <w:t>Correlation coefficient</w:t>
            </w:r>
          </w:p>
        </w:tc>
        <w:tc>
          <w:tcPr>
            <w:tcW w:w="830" w:type="dxa"/>
            <w:tcBorders>
              <w:top w:val="single" w:color="auto"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cs="ScalaLancetPro" w:asciiTheme="majorHAnsi" w:hAnsiTheme="majorHAnsi"/>
                <w:sz w:val="22"/>
                <w:szCs w:val="22"/>
                <w:lang w:eastAsia="en-US"/>
              </w:rPr>
              <w:t>-0.006</w:t>
            </w:r>
          </w:p>
        </w:tc>
        <w:tc>
          <w:tcPr>
            <w:tcW w:w="830" w:type="dxa"/>
            <w:tcBorders>
              <w:top w:val="single" w:color="auto"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cs="ScalaLancetPro" w:asciiTheme="majorHAnsi" w:hAnsiTheme="majorHAnsi"/>
                <w:sz w:val="22"/>
                <w:szCs w:val="22"/>
                <w:lang w:eastAsia="en-US"/>
              </w:rPr>
              <w:t>-0.056</w:t>
            </w:r>
          </w:p>
        </w:tc>
        <w:tc>
          <w:tcPr>
            <w:tcW w:w="830" w:type="dxa"/>
            <w:tcBorders>
              <w:top w:val="single" w:color="auto"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lang w:eastAsia="en-US"/>
              </w:rPr>
              <w:t>0.058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2220" w:type="dxa"/>
            <w:tcBorders>
              <w:top w:val="single" w:color="D8D8D8" w:themeColor="background1" w:themeShade="D9" w:sz="4" w:space="0"/>
              <w:bottom w:val="single" w:color="000000" w:themeColor="text1" w:sz="4" w:space="0"/>
            </w:tcBorders>
            <w:shd w:val="clear" w:color="auto" w:fill="auto"/>
          </w:tcPr>
          <w:p>
            <w:pPr>
              <w:rPr>
                <w:rFonts w:cs="ScalaLancetPro" w:asciiTheme="majorHAnsi" w:hAnsiTheme="majorHAnsi"/>
                <w:sz w:val="22"/>
                <w:szCs w:val="22"/>
                <w:lang w:eastAsia="en-US"/>
              </w:rPr>
            </w:pPr>
            <w:r>
              <w:rPr>
                <w:rFonts w:hint="eastAsia" w:cs="ScalaLancetPro" w:asciiTheme="majorHAnsi" w:hAnsiTheme="majorHAnsi"/>
                <w:i/>
                <w:sz w:val="22"/>
                <w:szCs w:val="22"/>
                <w:lang w:eastAsia="en-US"/>
              </w:rPr>
              <w:t>P</w:t>
            </w:r>
            <w:r>
              <w:rPr>
                <w:rFonts w:hint="eastAsia" w:cs="ScalaLancetPro" w:asciiTheme="majorHAnsi" w:hAnsiTheme="majorHAnsi"/>
                <w:sz w:val="22"/>
                <w:szCs w:val="22"/>
                <w:lang w:eastAsia="en-US"/>
              </w:rPr>
              <w:t>-value</w:t>
            </w:r>
          </w:p>
        </w:tc>
        <w:tc>
          <w:tcPr>
            <w:tcW w:w="830" w:type="dxa"/>
            <w:tcBorders>
              <w:top w:val="single" w:color="D8D8D8" w:themeColor="background1" w:themeShade="D9" w:sz="4" w:space="0"/>
              <w:bottom w:val="single" w:color="000000" w:themeColor="text1" w:sz="4" w:space="0"/>
            </w:tcBorders>
            <w:shd w:val="clear" w:color="auto" w:fill="auto"/>
          </w:tcPr>
          <w:p>
            <w:pPr>
              <w:jc w:val="center"/>
              <w:rPr>
                <w:rFonts w:cs="ScalaLancetPro" w:asciiTheme="majorHAnsi" w:hAnsiTheme="majorHAnsi"/>
                <w:sz w:val="22"/>
                <w:szCs w:val="22"/>
                <w:lang w:eastAsia="en-US"/>
              </w:rPr>
            </w:pPr>
            <w:r>
              <w:rPr>
                <w:rFonts w:cs="ScalaLancetPro" w:asciiTheme="majorHAnsi" w:hAnsiTheme="majorHAnsi"/>
                <w:sz w:val="22"/>
                <w:szCs w:val="22"/>
                <w:lang w:eastAsia="en-US"/>
              </w:rPr>
              <w:t>0.9002</w:t>
            </w:r>
          </w:p>
        </w:tc>
        <w:tc>
          <w:tcPr>
            <w:tcW w:w="830" w:type="dxa"/>
            <w:tcBorders>
              <w:top w:val="single" w:color="D8D8D8" w:themeColor="background1" w:themeShade="D9" w:sz="4" w:space="0"/>
              <w:bottom w:val="single" w:color="000000" w:themeColor="text1"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lang w:eastAsia="en-US"/>
              </w:rPr>
              <w:t>0.6732</w:t>
            </w:r>
          </w:p>
        </w:tc>
        <w:tc>
          <w:tcPr>
            <w:tcW w:w="830" w:type="dxa"/>
            <w:tcBorders>
              <w:top w:val="single" w:color="D8D8D8" w:themeColor="background1" w:themeShade="D9" w:sz="4" w:space="0"/>
              <w:bottom w:val="single" w:color="000000" w:themeColor="text1"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lang w:eastAsia="en-US"/>
              </w:rPr>
              <w:t>0</w:t>
            </w:r>
            <w:r>
              <w:rPr>
                <w:rFonts w:cs="ScalaLancetPro" w:asciiTheme="majorHAnsi" w:hAnsiTheme="majorHAnsi"/>
                <w:sz w:val="22"/>
                <w:szCs w:val="22"/>
                <w:lang w:eastAsia="en-US"/>
              </w:rPr>
              <w:t>.4981</w:t>
            </w:r>
          </w:p>
        </w:tc>
      </w:tr>
    </w:tbl>
    <w:p>
      <w:pPr>
        <w:widowControl w:val="0"/>
        <w:autoSpaceDE w:val="0"/>
        <w:autoSpaceDN w:val="0"/>
        <w:adjustRightInd w:val="0"/>
        <w:jc w:val="both"/>
        <w:rPr>
          <w:rFonts w:cs="Times New Roman" w:asciiTheme="majorHAnsi" w:hAnsiTheme="majorHAnsi"/>
          <w:b/>
        </w:rPr>
      </w:pPr>
    </w:p>
    <w:p>
      <w:pPr>
        <w:widowControl w:val="0"/>
        <w:autoSpaceDE w:val="0"/>
        <w:autoSpaceDN w:val="0"/>
        <w:adjustRightInd w:val="0"/>
        <w:jc w:val="both"/>
        <w:rPr>
          <w:rFonts w:cs="Times New Roman" w:asciiTheme="majorHAnsi" w:hAnsiTheme="majorHAnsi"/>
          <w:b/>
        </w:rPr>
      </w:pPr>
    </w:p>
    <w:p>
      <w:pPr>
        <w:widowControl w:val="0"/>
        <w:autoSpaceDE w:val="0"/>
        <w:autoSpaceDN w:val="0"/>
        <w:adjustRightInd w:val="0"/>
        <w:jc w:val="both"/>
        <w:rPr>
          <w:rFonts w:cs="Times New Roman" w:asciiTheme="majorHAnsi" w:hAnsiTheme="majorHAnsi"/>
          <w:b/>
        </w:rPr>
      </w:pPr>
    </w:p>
    <w:p>
      <w:pPr>
        <w:widowControl w:val="0"/>
        <w:autoSpaceDE w:val="0"/>
        <w:autoSpaceDN w:val="0"/>
        <w:adjustRightInd w:val="0"/>
        <w:jc w:val="both"/>
        <w:rPr>
          <w:rFonts w:cs="Times New Roman" w:asciiTheme="majorHAnsi" w:hAnsiTheme="majorHAnsi"/>
          <w:b/>
        </w:rPr>
      </w:pPr>
    </w:p>
    <w:p>
      <w:pPr>
        <w:widowControl w:val="0"/>
        <w:autoSpaceDE w:val="0"/>
        <w:autoSpaceDN w:val="0"/>
        <w:adjustRightInd w:val="0"/>
        <w:jc w:val="both"/>
        <w:rPr>
          <w:rFonts w:cs="Times New Roman" w:asciiTheme="majorHAnsi" w:hAnsiTheme="majorHAnsi"/>
          <w:b/>
        </w:rPr>
      </w:pPr>
      <w:r>
        <w:rPr>
          <w:rFonts w:cs="Times New Roman" w:asciiTheme="majorHAnsi" w:hAnsiTheme="majorHAnsi"/>
          <w:b/>
        </w:rPr>
        <w:t xml:space="preserve">Supplementary Table 2. </w:t>
      </w:r>
      <w:r>
        <w:rPr>
          <w:rFonts w:hint="eastAsia" w:cs="ScalaLancetPro" w:asciiTheme="majorHAnsi" w:hAnsiTheme="majorHAnsi"/>
          <w:lang w:eastAsia="en-US"/>
        </w:rPr>
        <w:t>Baseline disease characteristics</w:t>
      </w:r>
      <w:r>
        <w:rPr>
          <w:rFonts w:cs="ScalaLancetPro" w:asciiTheme="majorHAnsi" w:hAnsiTheme="majorHAnsi"/>
          <w:lang w:eastAsia="en-US"/>
        </w:rPr>
        <w:t xml:space="preserve"> between Huaier and control groups</w:t>
      </w:r>
    </w:p>
    <w:p>
      <w:pPr>
        <w:autoSpaceDE w:val="0"/>
        <w:autoSpaceDN w:val="0"/>
        <w:adjustRightInd w:val="0"/>
        <w:rPr>
          <w:rFonts w:cs="ScalaLancetPro" w:asciiTheme="majorHAnsi" w:hAnsiTheme="majorHAnsi"/>
          <w:b/>
          <w:lang w:eastAsia="en-US"/>
        </w:rPr>
      </w:pPr>
    </w:p>
    <w:tbl>
      <w:tblPr>
        <w:tblStyle w:val="6"/>
        <w:tblW w:w="7805" w:type="dxa"/>
        <w:tblInd w:w="9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18"/>
        <w:gridCol w:w="2158"/>
        <w:gridCol w:w="1551"/>
        <w:gridCol w:w="87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18" w:type="dxa"/>
            <w:tcBorders>
              <w:top w:val="single" w:color="auto" w:sz="4" w:space="0"/>
              <w:bottom w:val="single" w:color="auto" w:sz="4" w:space="0"/>
            </w:tcBorders>
            <w:shd w:val="clear" w:color="auto" w:fill="auto"/>
          </w:tcPr>
          <w:p>
            <w:pPr>
              <w:jc w:val="center"/>
              <w:rPr>
                <w:rFonts w:cs="ScalaLancetPro" w:asciiTheme="majorHAnsi" w:hAnsiTheme="majorHAnsi"/>
                <w:sz w:val="22"/>
                <w:szCs w:val="22"/>
                <w:lang w:eastAsia="en-US"/>
              </w:rPr>
            </w:pPr>
          </w:p>
        </w:tc>
        <w:tc>
          <w:tcPr>
            <w:tcW w:w="2158" w:type="dxa"/>
            <w:tcBorders>
              <w:top w:val="single" w:color="auto" w:sz="4" w:space="0"/>
              <w:bottom w:val="single" w:color="auto" w:sz="4" w:space="0"/>
            </w:tcBorders>
            <w:shd w:val="clear" w:color="auto" w:fill="auto"/>
          </w:tcPr>
          <w:p>
            <w:pPr>
              <w:jc w:val="center"/>
              <w:rPr>
                <w:rFonts w:cs="ScalaLancetPro" w:asciiTheme="majorHAnsi" w:hAnsiTheme="majorHAnsi"/>
                <w:sz w:val="22"/>
                <w:szCs w:val="22"/>
                <w:lang w:eastAsia="en-US"/>
              </w:rPr>
            </w:pPr>
            <w:r>
              <w:rPr>
                <w:rFonts w:cs="ScalaLancetPro" w:asciiTheme="majorHAnsi" w:hAnsiTheme="majorHAnsi"/>
                <w:sz w:val="22"/>
                <w:szCs w:val="22"/>
                <w:lang w:eastAsia="en-US"/>
              </w:rPr>
              <w:t xml:space="preserve">Huaier group </w:t>
            </w:r>
            <w:r>
              <w:rPr>
                <w:rFonts w:hint="eastAsia" w:cs="ScalaLancetPro" w:asciiTheme="majorHAnsi" w:hAnsiTheme="majorHAnsi"/>
                <w:sz w:val="22"/>
                <w:szCs w:val="22"/>
                <w:lang w:eastAsia="en-US"/>
              </w:rPr>
              <w:t>(</w:t>
            </w:r>
            <w:r>
              <w:rPr>
                <w:rFonts w:cs="ScalaLancetPro" w:asciiTheme="majorHAnsi" w:hAnsiTheme="majorHAnsi"/>
                <w:sz w:val="22"/>
                <w:szCs w:val="22"/>
                <w:lang w:eastAsia="en-US"/>
              </w:rPr>
              <w:t>N=686)</w:t>
            </w:r>
          </w:p>
        </w:tc>
        <w:tc>
          <w:tcPr>
            <w:tcW w:w="1551" w:type="dxa"/>
            <w:tcBorders>
              <w:top w:val="single" w:color="auto" w:sz="4" w:space="0"/>
              <w:bottom w:val="single" w:color="auto" w:sz="4" w:space="0"/>
            </w:tcBorders>
            <w:shd w:val="clear" w:color="auto" w:fill="auto"/>
          </w:tcPr>
          <w:p>
            <w:pPr>
              <w:jc w:val="center"/>
              <w:rPr>
                <w:rFonts w:cs="ScalaLancetPro" w:asciiTheme="majorHAnsi" w:hAnsiTheme="majorHAnsi"/>
                <w:sz w:val="22"/>
                <w:szCs w:val="22"/>
                <w:lang w:eastAsia="en-US"/>
              </w:rPr>
            </w:pPr>
            <w:r>
              <w:rPr>
                <w:rFonts w:cs="ScalaLancetPro" w:asciiTheme="majorHAnsi" w:hAnsiTheme="majorHAnsi"/>
                <w:sz w:val="22"/>
                <w:szCs w:val="22"/>
                <w:lang w:eastAsia="en-US"/>
              </w:rPr>
              <w:t xml:space="preserve">Control group </w:t>
            </w:r>
          </w:p>
          <w:p>
            <w:pPr>
              <w:jc w:val="center"/>
              <w:rPr>
                <w:rFonts w:cs="ScalaLancetPro" w:asciiTheme="majorHAnsi" w:hAnsiTheme="majorHAnsi"/>
                <w:sz w:val="22"/>
                <w:szCs w:val="22"/>
                <w:lang w:eastAsia="en-US"/>
              </w:rPr>
            </w:pPr>
            <w:r>
              <w:rPr>
                <w:rFonts w:cs="ScalaLancetPro" w:asciiTheme="majorHAnsi" w:hAnsiTheme="majorHAnsi"/>
                <w:sz w:val="22"/>
                <w:szCs w:val="22"/>
                <w:lang w:eastAsia="en-US"/>
              </w:rPr>
              <w:t>(N=316)</w:t>
            </w:r>
          </w:p>
        </w:tc>
        <w:tc>
          <w:tcPr>
            <w:tcW w:w="878" w:type="dxa"/>
            <w:tcBorders>
              <w:top w:val="single" w:color="auto" w:sz="4" w:space="0"/>
              <w:bottom w:val="single" w:color="auto"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i/>
                <w:sz w:val="22"/>
                <w:szCs w:val="22"/>
                <w:lang w:eastAsia="en-US"/>
              </w:rPr>
              <w:t>P</w:t>
            </w:r>
            <w:r>
              <w:rPr>
                <w:rFonts w:hint="eastAsia" w:cs="ScalaLancetPro" w:asciiTheme="majorHAnsi" w:hAnsiTheme="majorHAnsi"/>
                <w:sz w:val="22"/>
                <w:szCs w:val="22"/>
                <w:lang w:eastAsia="en-US"/>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18" w:type="dxa"/>
            <w:tcBorders>
              <w:top w:val="single" w:color="auto" w:sz="4" w:space="0"/>
              <w:bottom w:val="single" w:color="D8D8D8" w:themeColor="background1" w:themeShade="D9" w:sz="4" w:space="0"/>
            </w:tcBorders>
            <w:shd w:val="clear" w:color="auto" w:fill="auto"/>
          </w:tcPr>
          <w:p>
            <w:pPr>
              <w:rPr>
                <w:rFonts w:cs="ScalaLancetPro" w:asciiTheme="majorHAnsi" w:hAnsiTheme="majorHAnsi"/>
                <w:sz w:val="22"/>
                <w:szCs w:val="22"/>
                <w:lang w:eastAsia="en-US"/>
              </w:rPr>
            </w:pPr>
            <w:r>
              <w:rPr>
                <w:rFonts w:cs="ScalaLancetPro" w:asciiTheme="majorHAnsi" w:hAnsiTheme="majorHAnsi"/>
                <w:sz w:val="22"/>
                <w:szCs w:val="22"/>
                <w:lang w:eastAsia="en-US"/>
              </w:rPr>
              <w:t>BMI</w:t>
            </w:r>
          </w:p>
        </w:tc>
        <w:tc>
          <w:tcPr>
            <w:tcW w:w="2158" w:type="dxa"/>
            <w:tcBorders>
              <w:top w:val="single" w:color="auto"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lang w:eastAsia="en-US"/>
              </w:rPr>
              <w:t>23.78±3.56</w:t>
            </w:r>
          </w:p>
        </w:tc>
        <w:tc>
          <w:tcPr>
            <w:tcW w:w="1551" w:type="dxa"/>
            <w:tcBorders>
              <w:top w:val="single" w:color="auto"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rPr>
              <w:t>23.44±3.30</w:t>
            </w:r>
          </w:p>
        </w:tc>
        <w:tc>
          <w:tcPr>
            <w:tcW w:w="878" w:type="dxa"/>
            <w:tcBorders>
              <w:top w:val="single" w:color="auto"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rPr>
              <w:t>0.1901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18" w:type="dxa"/>
            <w:tcBorders>
              <w:top w:val="single" w:color="D8D8D8" w:themeColor="background1" w:themeShade="D9" w:sz="4" w:space="0"/>
              <w:bottom w:val="single" w:color="D8D8D8" w:themeColor="background1" w:themeShade="D9" w:sz="4" w:space="0"/>
            </w:tcBorders>
            <w:shd w:val="clear" w:color="auto" w:fill="auto"/>
          </w:tcPr>
          <w:p>
            <w:pPr>
              <w:rPr>
                <w:rFonts w:cs="ScalaLancetPro" w:asciiTheme="majorHAnsi" w:hAnsiTheme="majorHAnsi"/>
                <w:sz w:val="22"/>
                <w:szCs w:val="22"/>
                <w:lang w:eastAsia="en-US"/>
              </w:rPr>
            </w:pPr>
            <w:r>
              <w:rPr>
                <w:rFonts w:cs="ScalaLancetPro" w:asciiTheme="majorHAnsi" w:hAnsiTheme="majorHAnsi"/>
                <w:sz w:val="22"/>
                <w:szCs w:val="22"/>
                <w:lang w:eastAsia="en-US"/>
              </w:rPr>
              <w:t>ALT (U/L)</w:t>
            </w:r>
          </w:p>
        </w:tc>
        <w:tc>
          <w:tcPr>
            <w:tcW w:w="2158" w:type="dxa"/>
            <w:tcBorders>
              <w:top w:val="single" w:color="D8D8D8" w:themeColor="background1" w:themeShade="D9"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rPr>
              <w:t>45.82±5</w:t>
            </w:r>
            <w:r>
              <w:rPr>
                <w:rFonts w:cs="ScalaLancetPro" w:asciiTheme="majorHAnsi" w:hAnsiTheme="majorHAnsi"/>
                <w:sz w:val="22"/>
                <w:szCs w:val="22"/>
              </w:rPr>
              <w:t>8.59</w:t>
            </w:r>
          </w:p>
        </w:tc>
        <w:tc>
          <w:tcPr>
            <w:tcW w:w="1551" w:type="dxa"/>
            <w:tcBorders>
              <w:top w:val="single" w:color="D8D8D8" w:themeColor="background1" w:themeShade="D9"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rPr>
              <w:t>49.30±</w:t>
            </w:r>
            <w:r>
              <w:rPr>
                <w:rFonts w:cs="ScalaLancetPro" w:asciiTheme="majorHAnsi" w:hAnsiTheme="majorHAnsi"/>
                <w:sz w:val="22"/>
                <w:szCs w:val="22"/>
              </w:rPr>
              <w:t>80.11</w:t>
            </w:r>
          </w:p>
        </w:tc>
        <w:tc>
          <w:tcPr>
            <w:tcW w:w="878" w:type="dxa"/>
            <w:tcBorders>
              <w:top w:val="single" w:color="D8D8D8" w:themeColor="background1" w:themeShade="D9"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rPr>
              <w:t>0</w:t>
            </w:r>
            <w:r>
              <w:rPr>
                <w:rFonts w:cs="ScalaLancetPro" w:asciiTheme="majorHAnsi" w:hAnsiTheme="majorHAnsi"/>
                <w:sz w:val="22"/>
                <w:szCs w:val="22"/>
              </w:rPr>
              <w:t>.4941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18" w:type="dxa"/>
            <w:tcBorders>
              <w:top w:val="single" w:color="D8D8D8" w:themeColor="background1" w:themeShade="D9" w:sz="4" w:space="0"/>
              <w:bottom w:val="single" w:color="D8D8D8" w:themeColor="background1" w:themeShade="D9" w:sz="4" w:space="0"/>
            </w:tcBorders>
            <w:shd w:val="clear" w:color="auto" w:fill="auto"/>
          </w:tcPr>
          <w:p>
            <w:pPr>
              <w:rPr>
                <w:rFonts w:cs="ScalaLancetPro" w:asciiTheme="majorHAnsi" w:hAnsiTheme="majorHAnsi"/>
                <w:sz w:val="22"/>
                <w:szCs w:val="22"/>
                <w:lang w:eastAsia="en-US"/>
              </w:rPr>
            </w:pPr>
            <w:r>
              <w:rPr>
                <w:rFonts w:hint="eastAsia" w:cs="ScalaLancetPro" w:asciiTheme="majorHAnsi" w:hAnsiTheme="majorHAnsi"/>
                <w:sz w:val="22"/>
                <w:szCs w:val="22"/>
              </w:rPr>
              <w:t>AST</w:t>
            </w:r>
            <w:r>
              <w:rPr>
                <w:rFonts w:cs="ScalaLancetPro" w:asciiTheme="majorHAnsi" w:hAnsiTheme="majorHAnsi"/>
                <w:sz w:val="22"/>
                <w:szCs w:val="22"/>
              </w:rPr>
              <w:t xml:space="preserve"> </w:t>
            </w:r>
            <w:r>
              <w:rPr>
                <w:rFonts w:cs="ScalaLancetPro" w:asciiTheme="majorHAnsi" w:hAnsiTheme="majorHAnsi"/>
                <w:sz w:val="22"/>
                <w:szCs w:val="22"/>
                <w:lang w:eastAsia="en-US"/>
              </w:rPr>
              <w:t>(U/L)</w:t>
            </w:r>
          </w:p>
        </w:tc>
        <w:tc>
          <w:tcPr>
            <w:tcW w:w="2158" w:type="dxa"/>
            <w:tcBorders>
              <w:top w:val="single" w:color="D8D8D8" w:themeColor="background1" w:themeShade="D9"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rPr>
              <w:t>41.21±4</w:t>
            </w:r>
            <w:r>
              <w:rPr>
                <w:rFonts w:cs="ScalaLancetPro" w:asciiTheme="majorHAnsi" w:hAnsiTheme="majorHAnsi"/>
                <w:sz w:val="22"/>
                <w:szCs w:val="22"/>
              </w:rPr>
              <w:t>5.87</w:t>
            </w:r>
          </w:p>
        </w:tc>
        <w:tc>
          <w:tcPr>
            <w:tcW w:w="1551" w:type="dxa"/>
            <w:tcBorders>
              <w:top w:val="single" w:color="D8D8D8" w:themeColor="background1" w:themeShade="D9"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rPr>
              <w:t>44.83±5</w:t>
            </w:r>
            <w:r>
              <w:rPr>
                <w:rFonts w:cs="ScalaLancetPro" w:asciiTheme="majorHAnsi" w:hAnsiTheme="majorHAnsi"/>
                <w:sz w:val="22"/>
                <w:szCs w:val="22"/>
              </w:rPr>
              <w:t>5.85</w:t>
            </w:r>
          </w:p>
        </w:tc>
        <w:tc>
          <w:tcPr>
            <w:tcW w:w="878" w:type="dxa"/>
            <w:tcBorders>
              <w:top w:val="single" w:color="D8D8D8" w:themeColor="background1" w:themeShade="D9"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rPr>
              <w:t>0.3212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18" w:type="dxa"/>
            <w:tcBorders>
              <w:top w:val="single" w:color="D8D8D8" w:themeColor="background1" w:themeShade="D9" w:sz="4" w:space="0"/>
              <w:bottom w:val="single" w:color="D8D8D8" w:themeColor="background1" w:themeShade="D9" w:sz="4" w:space="0"/>
            </w:tcBorders>
            <w:shd w:val="clear" w:color="auto" w:fill="auto"/>
          </w:tcPr>
          <w:p>
            <w:pPr>
              <w:rPr>
                <w:rFonts w:cs="ScalaLancetPro" w:asciiTheme="majorHAnsi" w:hAnsiTheme="majorHAnsi"/>
                <w:sz w:val="22"/>
                <w:szCs w:val="22"/>
                <w:lang w:eastAsia="en-US"/>
              </w:rPr>
            </w:pPr>
            <w:r>
              <w:rPr>
                <w:rFonts w:cs="ScalaLancetPro" w:asciiTheme="majorHAnsi" w:hAnsiTheme="majorHAnsi"/>
                <w:sz w:val="22"/>
                <w:szCs w:val="22"/>
                <w:lang w:eastAsia="en-US"/>
              </w:rPr>
              <w:t>Total bilirubin (umol/L)</w:t>
            </w:r>
          </w:p>
        </w:tc>
        <w:tc>
          <w:tcPr>
            <w:tcW w:w="2158" w:type="dxa"/>
            <w:tcBorders>
              <w:top w:val="single" w:color="D8D8D8" w:themeColor="background1" w:themeShade="D9"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rPr>
              <w:t>16.29±25.02</w:t>
            </w:r>
          </w:p>
        </w:tc>
        <w:tc>
          <w:tcPr>
            <w:tcW w:w="1551" w:type="dxa"/>
            <w:tcBorders>
              <w:top w:val="single" w:color="D8D8D8" w:themeColor="background1" w:themeShade="D9"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rPr>
              <w:t>14.33±6.40</w:t>
            </w:r>
          </w:p>
        </w:tc>
        <w:tc>
          <w:tcPr>
            <w:tcW w:w="878" w:type="dxa"/>
            <w:tcBorders>
              <w:top w:val="single" w:color="D8D8D8" w:themeColor="background1" w:themeShade="D9" w:sz="4" w:space="0"/>
              <w:bottom w:val="single" w:color="D8D8D8" w:themeColor="background1" w:themeShade="D9" w:sz="4" w:space="0"/>
            </w:tcBorders>
            <w:shd w:val="clear" w:color="auto" w:fill="auto"/>
          </w:tcPr>
          <w:p>
            <w:pPr>
              <w:rPr>
                <w:rFonts w:cs="ScalaLancetPro" w:asciiTheme="majorHAnsi" w:hAnsiTheme="majorHAnsi"/>
                <w:sz w:val="22"/>
                <w:szCs w:val="22"/>
                <w:lang w:eastAsia="en-US"/>
              </w:rPr>
            </w:pPr>
            <w:r>
              <w:rPr>
                <w:rFonts w:hint="eastAsia" w:cs="ScalaLancetPro" w:asciiTheme="majorHAnsi" w:hAnsiTheme="majorHAnsi"/>
                <w:sz w:val="22"/>
                <w:szCs w:val="22"/>
              </w:rPr>
              <w:t>0.</w:t>
            </w:r>
            <w:r>
              <w:rPr>
                <w:rFonts w:cs="ScalaLancetPro" w:asciiTheme="majorHAnsi" w:hAnsiTheme="majorHAnsi"/>
                <w:sz w:val="22"/>
                <w:szCs w:val="22"/>
              </w:rPr>
              <w:t>0565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18" w:type="dxa"/>
            <w:tcBorders>
              <w:top w:val="single" w:color="D8D8D8" w:themeColor="background1" w:themeShade="D9" w:sz="4" w:space="0"/>
              <w:bottom w:val="single" w:color="D8D8D8" w:themeColor="background1" w:themeShade="D9" w:sz="4" w:space="0"/>
            </w:tcBorders>
            <w:shd w:val="clear" w:color="auto" w:fill="auto"/>
          </w:tcPr>
          <w:p>
            <w:pPr>
              <w:rPr>
                <w:rFonts w:cs="ScalaLancetPro" w:asciiTheme="majorHAnsi" w:hAnsiTheme="majorHAnsi"/>
                <w:sz w:val="22"/>
                <w:szCs w:val="22"/>
                <w:lang w:eastAsia="en-US"/>
              </w:rPr>
            </w:pPr>
            <w:r>
              <w:rPr>
                <w:rFonts w:cs="ScalaLancetPro" w:asciiTheme="majorHAnsi" w:hAnsiTheme="majorHAnsi"/>
                <w:sz w:val="22"/>
                <w:szCs w:val="22"/>
                <w:lang w:eastAsia="en-US"/>
              </w:rPr>
              <w:t>Haemoglobin (g/L)</w:t>
            </w:r>
          </w:p>
        </w:tc>
        <w:tc>
          <w:tcPr>
            <w:tcW w:w="2158" w:type="dxa"/>
            <w:tcBorders>
              <w:top w:val="single" w:color="D8D8D8" w:themeColor="background1" w:themeShade="D9"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rPr>
              <w:t>142.</w:t>
            </w:r>
            <w:r>
              <w:rPr>
                <w:rFonts w:cs="ScalaLancetPro" w:asciiTheme="majorHAnsi" w:hAnsiTheme="majorHAnsi"/>
                <w:sz w:val="22"/>
                <w:szCs w:val="22"/>
              </w:rPr>
              <w:t>10</w:t>
            </w:r>
            <w:r>
              <w:rPr>
                <w:rFonts w:hint="eastAsia" w:cs="ScalaLancetPro" w:asciiTheme="majorHAnsi" w:hAnsiTheme="majorHAnsi"/>
                <w:sz w:val="22"/>
                <w:szCs w:val="22"/>
              </w:rPr>
              <w:t>±22.15</w:t>
            </w:r>
          </w:p>
        </w:tc>
        <w:tc>
          <w:tcPr>
            <w:tcW w:w="1551" w:type="dxa"/>
            <w:tcBorders>
              <w:top w:val="single" w:color="D8D8D8" w:themeColor="background1" w:themeShade="D9"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rPr>
              <w:t>139.90±18.10</w:t>
            </w:r>
          </w:p>
        </w:tc>
        <w:tc>
          <w:tcPr>
            <w:tcW w:w="878" w:type="dxa"/>
            <w:tcBorders>
              <w:top w:val="single" w:color="D8D8D8" w:themeColor="background1" w:themeShade="D9"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rPr>
              <w:t>0.1030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18" w:type="dxa"/>
            <w:tcBorders>
              <w:top w:val="single" w:color="D8D8D8" w:themeColor="background1" w:themeShade="D9" w:sz="4" w:space="0"/>
              <w:bottom w:val="single" w:color="D8D8D8" w:themeColor="background1" w:themeShade="D9" w:sz="4" w:space="0"/>
            </w:tcBorders>
            <w:shd w:val="clear" w:color="auto" w:fill="auto"/>
          </w:tcPr>
          <w:p>
            <w:pPr>
              <w:rPr>
                <w:rFonts w:cs="ScalaLancetPro" w:asciiTheme="majorHAnsi" w:hAnsiTheme="majorHAnsi"/>
                <w:sz w:val="22"/>
                <w:szCs w:val="22"/>
                <w:lang w:eastAsia="en-US"/>
              </w:rPr>
            </w:pPr>
            <w:r>
              <w:rPr>
                <w:rFonts w:cs="ScalaLancetPro" w:asciiTheme="majorHAnsi" w:hAnsiTheme="majorHAnsi"/>
                <w:sz w:val="22"/>
                <w:szCs w:val="22"/>
                <w:lang w:eastAsia="en-US"/>
              </w:rPr>
              <w:t>Blood platelet count (10</w:t>
            </w:r>
            <w:r>
              <w:rPr>
                <w:rFonts w:cs="ScalaLancetPro" w:asciiTheme="majorHAnsi" w:hAnsiTheme="majorHAnsi"/>
                <w:sz w:val="22"/>
                <w:szCs w:val="22"/>
                <w:vertAlign w:val="superscript"/>
                <w:lang w:eastAsia="en-US"/>
              </w:rPr>
              <w:t>9</w:t>
            </w:r>
            <w:r>
              <w:rPr>
                <w:rFonts w:cs="ScalaLancetPro" w:asciiTheme="majorHAnsi" w:hAnsiTheme="majorHAnsi"/>
                <w:sz w:val="22"/>
                <w:szCs w:val="22"/>
                <w:lang w:eastAsia="en-US"/>
              </w:rPr>
              <w:t>/L)</w:t>
            </w:r>
          </w:p>
        </w:tc>
        <w:tc>
          <w:tcPr>
            <w:tcW w:w="2158" w:type="dxa"/>
            <w:tcBorders>
              <w:top w:val="single" w:color="D8D8D8" w:themeColor="background1" w:themeShade="D9"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rPr>
              <w:t>161.90±69.91</w:t>
            </w:r>
          </w:p>
        </w:tc>
        <w:tc>
          <w:tcPr>
            <w:tcW w:w="1551" w:type="dxa"/>
            <w:tcBorders>
              <w:top w:val="single" w:color="D8D8D8" w:themeColor="background1" w:themeShade="D9" w:sz="4" w:space="0"/>
              <w:bottom w:val="single" w:color="D8D8D8" w:themeColor="background1" w:themeShade="D9" w:sz="4" w:space="0"/>
            </w:tcBorders>
            <w:shd w:val="clear" w:color="auto" w:fill="auto"/>
          </w:tcPr>
          <w:p>
            <w:pPr>
              <w:jc w:val="center"/>
              <w:rPr>
                <w:rFonts w:cs="ScalaLancetPro" w:asciiTheme="majorHAnsi" w:hAnsiTheme="majorHAnsi"/>
                <w:sz w:val="22"/>
                <w:szCs w:val="22"/>
                <w:lang w:eastAsia="en-US"/>
              </w:rPr>
            </w:pPr>
            <w:r>
              <w:rPr>
                <w:rFonts w:hint="eastAsia" w:cs="ScalaLancetPro" w:asciiTheme="majorHAnsi" w:hAnsiTheme="majorHAnsi"/>
                <w:sz w:val="22"/>
                <w:szCs w:val="22"/>
              </w:rPr>
              <w:t>152</w:t>
            </w:r>
            <w:r>
              <w:rPr>
                <w:rFonts w:cs="ScalaLancetPro" w:asciiTheme="majorHAnsi" w:hAnsiTheme="majorHAnsi"/>
                <w:sz w:val="22"/>
                <w:szCs w:val="22"/>
              </w:rPr>
              <w:t>.20</w:t>
            </w:r>
            <w:r>
              <w:rPr>
                <w:rFonts w:hint="eastAsia" w:cs="ScalaLancetPro" w:asciiTheme="majorHAnsi" w:hAnsiTheme="majorHAnsi"/>
                <w:sz w:val="22"/>
                <w:szCs w:val="22"/>
              </w:rPr>
              <w:t>±66.38</w:t>
            </w:r>
          </w:p>
        </w:tc>
        <w:tc>
          <w:tcPr>
            <w:tcW w:w="878" w:type="dxa"/>
            <w:tcBorders>
              <w:top w:val="single" w:color="D8D8D8" w:themeColor="background1" w:themeShade="D9" w:sz="4" w:space="0"/>
              <w:bottom w:val="single" w:color="D8D8D8" w:themeColor="background1" w:themeShade="D9" w:sz="4" w:space="0"/>
            </w:tcBorders>
            <w:shd w:val="clear" w:color="auto" w:fill="auto"/>
          </w:tcPr>
          <w:p>
            <w:pPr>
              <w:rPr>
                <w:rFonts w:cs="ScalaLancetPro" w:asciiTheme="majorHAnsi" w:hAnsiTheme="majorHAnsi"/>
                <w:sz w:val="22"/>
                <w:szCs w:val="22"/>
                <w:lang w:eastAsia="en-US"/>
              </w:rPr>
            </w:pPr>
            <w:r>
              <w:rPr>
                <w:rFonts w:hint="eastAsia" w:cs="ScalaLancetPro" w:asciiTheme="majorHAnsi" w:hAnsiTheme="majorHAnsi"/>
                <w:sz w:val="22"/>
                <w:szCs w:val="22"/>
              </w:rPr>
              <w:t>0.0393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18" w:type="dxa"/>
            <w:tcBorders>
              <w:top w:val="single" w:color="D8D8D8" w:themeColor="background1" w:themeShade="D9" w:sz="4" w:space="0"/>
              <w:bottom w:val="single" w:color="D8D8D8" w:themeColor="background1" w:themeShade="D9" w:sz="4" w:space="0"/>
            </w:tcBorders>
            <w:shd w:val="clear" w:color="auto" w:fill="auto"/>
          </w:tcPr>
          <w:p>
            <w:pPr>
              <w:rPr>
                <w:rFonts w:cs="ScalaLancetPro" w:asciiTheme="majorHAnsi" w:hAnsiTheme="majorHAnsi"/>
                <w:sz w:val="22"/>
                <w:szCs w:val="22"/>
                <w:lang w:eastAsia="en-US"/>
              </w:rPr>
            </w:pPr>
            <w:r>
              <w:rPr>
                <w:rFonts w:cs="ScalaLancetPro" w:asciiTheme="majorHAnsi" w:hAnsiTheme="majorHAnsi"/>
                <w:sz w:val="22"/>
                <w:szCs w:val="22"/>
              </w:rPr>
              <w:t xml:space="preserve">Absolute neutrophil count </w:t>
            </w:r>
            <w:r>
              <w:rPr>
                <w:rFonts w:cs="ScalaLancetPro" w:asciiTheme="majorHAnsi" w:hAnsiTheme="majorHAnsi"/>
                <w:sz w:val="22"/>
                <w:szCs w:val="22"/>
                <w:lang w:eastAsia="en-US"/>
              </w:rPr>
              <w:t>(10</w:t>
            </w:r>
            <w:r>
              <w:rPr>
                <w:rFonts w:cs="ScalaLancetPro" w:asciiTheme="majorHAnsi" w:hAnsiTheme="majorHAnsi"/>
                <w:sz w:val="22"/>
                <w:szCs w:val="22"/>
                <w:vertAlign w:val="superscript"/>
                <w:lang w:eastAsia="en-US"/>
              </w:rPr>
              <w:t>9</w:t>
            </w:r>
            <w:r>
              <w:rPr>
                <w:rFonts w:cs="ScalaLancetPro" w:asciiTheme="majorHAnsi" w:hAnsiTheme="majorHAnsi"/>
                <w:sz w:val="22"/>
                <w:szCs w:val="22"/>
                <w:lang w:eastAsia="en-US"/>
              </w:rPr>
              <w:t>/L)</w:t>
            </w:r>
          </w:p>
        </w:tc>
        <w:tc>
          <w:tcPr>
            <w:tcW w:w="2158" w:type="dxa"/>
            <w:tcBorders>
              <w:top w:val="single" w:color="D8D8D8" w:themeColor="background1" w:themeShade="D9" w:sz="4" w:space="0"/>
              <w:bottom w:val="single" w:color="D8D8D8" w:themeColor="background1" w:themeShade="D9" w:sz="4" w:space="0"/>
            </w:tcBorders>
            <w:shd w:val="clear" w:color="auto" w:fill="auto"/>
          </w:tcPr>
          <w:p>
            <w:pPr>
              <w:jc w:val="center"/>
              <w:rPr>
                <w:rFonts w:cs="ScalaLancetPro" w:asciiTheme="majorHAnsi" w:hAnsiTheme="majorHAnsi"/>
                <w:sz w:val="22"/>
                <w:szCs w:val="22"/>
              </w:rPr>
            </w:pPr>
            <w:r>
              <w:rPr>
                <w:rFonts w:cs="ScalaLancetPro" w:asciiTheme="majorHAnsi" w:hAnsiTheme="majorHAnsi"/>
                <w:sz w:val="22"/>
                <w:szCs w:val="22"/>
              </w:rPr>
              <w:t>3.90</w:t>
            </w:r>
            <w:r>
              <w:rPr>
                <w:rFonts w:hint="eastAsia" w:cs="ScalaLancetPro" w:asciiTheme="majorHAnsi" w:hAnsiTheme="majorHAnsi"/>
                <w:sz w:val="22"/>
                <w:szCs w:val="22"/>
              </w:rPr>
              <w:t>±</w:t>
            </w:r>
            <w:r>
              <w:rPr>
                <w:rFonts w:cs="ScalaLancetPro" w:asciiTheme="majorHAnsi" w:hAnsiTheme="majorHAnsi"/>
                <w:sz w:val="22"/>
                <w:szCs w:val="22"/>
              </w:rPr>
              <w:t>2.41</w:t>
            </w:r>
          </w:p>
        </w:tc>
        <w:tc>
          <w:tcPr>
            <w:tcW w:w="1551" w:type="dxa"/>
            <w:tcBorders>
              <w:top w:val="single" w:color="D8D8D8" w:themeColor="background1" w:themeShade="D9" w:sz="4" w:space="0"/>
              <w:bottom w:val="single" w:color="D8D8D8" w:themeColor="background1" w:themeShade="D9" w:sz="4" w:space="0"/>
            </w:tcBorders>
            <w:shd w:val="clear" w:color="auto" w:fill="auto"/>
          </w:tcPr>
          <w:p>
            <w:pPr>
              <w:jc w:val="center"/>
              <w:rPr>
                <w:rFonts w:cs="ScalaLancetPro" w:asciiTheme="majorHAnsi" w:hAnsiTheme="majorHAnsi"/>
                <w:sz w:val="22"/>
                <w:szCs w:val="22"/>
              </w:rPr>
            </w:pPr>
            <w:r>
              <w:rPr>
                <w:rFonts w:cs="ScalaLancetPro" w:asciiTheme="majorHAnsi" w:hAnsiTheme="majorHAnsi"/>
                <w:sz w:val="22"/>
                <w:szCs w:val="22"/>
              </w:rPr>
              <w:t>3.72</w:t>
            </w:r>
            <w:r>
              <w:rPr>
                <w:rFonts w:hint="eastAsia" w:cs="ScalaLancetPro" w:asciiTheme="majorHAnsi" w:hAnsiTheme="majorHAnsi"/>
                <w:sz w:val="22"/>
                <w:szCs w:val="22"/>
              </w:rPr>
              <w:t>±</w:t>
            </w:r>
            <w:r>
              <w:rPr>
                <w:rFonts w:cs="ScalaLancetPro" w:asciiTheme="majorHAnsi" w:hAnsiTheme="majorHAnsi"/>
                <w:sz w:val="22"/>
                <w:szCs w:val="22"/>
              </w:rPr>
              <w:t>2.13</w:t>
            </w:r>
          </w:p>
        </w:tc>
        <w:tc>
          <w:tcPr>
            <w:tcW w:w="878" w:type="dxa"/>
            <w:tcBorders>
              <w:top w:val="single" w:color="D8D8D8" w:themeColor="background1" w:themeShade="D9" w:sz="4" w:space="0"/>
              <w:bottom w:val="single" w:color="D8D8D8" w:themeColor="background1" w:themeShade="D9" w:sz="4" w:space="0"/>
            </w:tcBorders>
            <w:shd w:val="clear" w:color="auto" w:fill="auto"/>
          </w:tcPr>
          <w:p>
            <w:pPr>
              <w:rPr>
                <w:rFonts w:cs="ScalaLancetPro" w:asciiTheme="majorHAnsi" w:hAnsiTheme="majorHAnsi"/>
                <w:sz w:val="22"/>
                <w:szCs w:val="22"/>
              </w:rPr>
            </w:pPr>
            <w:r>
              <w:rPr>
                <w:rFonts w:hint="eastAsia" w:eastAsia="宋体" w:cs="ScalaLancetPro" w:asciiTheme="majorHAnsi" w:hAnsiTheme="majorHAnsi"/>
                <w:sz w:val="22"/>
                <w:szCs w:val="22"/>
              </w:rPr>
              <w:t>0.2224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3218" w:type="dxa"/>
            <w:tcBorders>
              <w:top w:val="single" w:color="D8D8D8" w:themeColor="background1" w:themeShade="D9" w:sz="4" w:space="0"/>
              <w:bottom w:val="single" w:color="000000" w:themeColor="text1" w:sz="4" w:space="0"/>
            </w:tcBorders>
            <w:shd w:val="clear" w:color="auto" w:fill="auto"/>
          </w:tcPr>
          <w:p>
            <w:pPr>
              <w:rPr>
                <w:rFonts w:cs="ScalaLancetPro" w:asciiTheme="majorHAnsi" w:hAnsiTheme="majorHAnsi"/>
                <w:sz w:val="22"/>
                <w:szCs w:val="22"/>
              </w:rPr>
            </w:pPr>
            <w:r>
              <w:rPr>
                <w:rFonts w:cs="ScalaLancetPro" w:asciiTheme="majorHAnsi" w:hAnsiTheme="majorHAnsi"/>
                <w:sz w:val="22"/>
                <w:szCs w:val="22"/>
                <w:lang w:eastAsia="en-US"/>
              </w:rPr>
              <w:t>Serum creatinine (umol/L)</w:t>
            </w:r>
          </w:p>
        </w:tc>
        <w:tc>
          <w:tcPr>
            <w:tcW w:w="2158" w:type="dxa"/>
            <w:tcBorders>
              <w:top w:val="single" w:color="D8D8D8" w:themeColor="background1" w:themeShade="D9" w:sz="4" w:space="0"/>
              <w:bottom w:val="single" w:color="000000" w:themeColor="text1" w:sz="4" w:space="0"/>
            </w:tcBorders>
            <w:shd w:val="clear" w:color="auto" w:fill="auto"/>
          </w:tcPr>
          <w:p>
            <w:pPr>
              <w:jc w:val="center"/>
              <w:rPr>
                <w:rFonts w:cs="ScalaLancetPro" w:asciiTheme="majorHAnsi" w:hAnsiTheme="majorHAnsi"/>
                <w:sz w:val="22"/>
                <w:szCs w:val="22"/>
                <w:highlight w:val="yellow"/>
              </w:rPr>
            </w:pPr>
            <w:r>
              <w:rPr>
                <w:rFonts w:hint="eastAsia" w:cs="ScalaLancetPro" w:asciiTheme="majorHAnsi" w:hAnsiTheme="majorHAnsi"/>
                <w:sz w:val="22"/>
                <w:szCs w:val="22"/>
              </w:rPr>
              <w:t>74.00±22.91</w:t>
            </w:r>
          </w:p>
        </w:tc>
        <w:tc>
          <w:tcPr>
            <w:tcW w:w="1551" w:type="dxa"/>
            <w:tcBorders>
              <w:top w:val="single" w:color="D8D8D8" w:themeColor="background1" w:themeShade="D9" w:sz="4" w:space="0"/>
              <w:bottom w:val="single" w:color="000000" w:themeColor="text1" w:sz="4" w:space="0"/>
            </w:tcBorders>
            <w:shd w:val="clear" w:color="auto" w:fill="auto"/>
          </w:tcPr>
          <w:p>
            <w:pPr>
              <w:jc w:val="center"/>
              <w:rPr>
                <w:rFonts w:cs="ScalaLancetPro" w:asciiTheme="majorHAnsi" w:hAnsiTheme="majorHAnsi"/>
                <w:sz w:val="22"/>
                <w:szCs w:val="22"/>
                <w:highlight w:val="yellow"/>
              </w:rPr>
            </w:pPr>
            <w:r>
              <w:rPr>
                <w:rFonts w:hint="eastAsia" w:cs="ScalaLancetPro" w:asciiTheme="majorHAnsi" w:hAnsiTheme="majorHAnsi"/>
                <w:sz w:val="22"/>
                <w:szCs w:val="22"/>
              </w:rPr>
              <w:t>74.52±21.68</w:t>
            </w:r>
          </w:p>
        </w:tc>
        <w:tc>
          <w:tcPr>
            <w:tcW w:w="878" w:type="dxa"/>
            <w:tcBorders>
              <w:top w:val="single" w:color="D8D8D8" w:themeColor="background1" w:themeShade="D9" w:sz="4" w:space="0"/>
              <w:bottom w:val="single" w:color="000000" w:themeColor="text1" w:sz="4" w:space="0"/>
            </w:tcBorders>
            <w:shd w:val="clear" w:color="auto" w:fill="auto"/>
          </w:tcPr>
          <w:p>
            <w:pPr>
              <w:jc w:val="center"/>
              <w:rPr>
                <w:rFonts w:cs="ScalaLancetPro" w:asciiTheme="majorHAnsi" w:hAnsiTheme="majorHAnsi"/>
                <w:sz w:val="22"/>
                <w:szCs w:val="22"/>
                <w:highlight w:val="yellow"/>
              </w:rPr>
            </w:pPr>
            <w:r>
              <w:rPr>
                <w:rFonts w:hint="eastAsia" w:cs="ScalaLancetPro" w:asciiTheme="majorHAnsi" w:hAnsiTheme="majorHAnsi"/>
                <w:sz w:val="22"/>
                <w:szCs w:val="22"/>
              </w:rPr>
              <w:t>0.7380</w:t>
            </w:r>
          </w:p>
        </w:tc>
      </w:tr>
    </w:tbl>
    <w:p>
      <w:pPr>
        <w:spacing w:before="100" w:beforeAutospacing="1" w:after="100" w:afterAutospacing="1"/>
        <w:jc w:val="both"/>
        <w:rPr>
          <w:rFonts w:cs="Times New Roman" w:asciiTheme="majorHAnsi" w:hAnsiTheme="majorHAnsi"/>
          <w:b/>
        </w:rPr>
      </w:pPr>
      <w:r>
        <w:rPr>
          <w:rFonts w:cs="ScalaLancetPro" w:asciiTheme="majorHAnsi" w:hAnsiTheme="majorHAnsi"/>
          <w:sz w:val="22"/>
          <w:szCs w:val="22"/>
          <w:lang w:eastAsia="en-US"/>
        </w:rPr>
        <w:t xml:space="preserve">The levels of BMI, ALT, AST, total bilirubin, haemoglobin, platelet count, neutrophil count, and serum creatinine were compared between Huaier and control groups at the time of randomization. Data represent the means ± SD. P values were calculated using unpaired Student's t test. </w:t>
      </w:r>
      <w:r>
        <w:rPr>
          <w:rFonts w:cs="ScalaLancetPro" w:asciiTheme="majorHAnsi" w:hAnsiTheme="majorHAnsi"/>
          <w:i/>
          <w:sz w:val="22"/>
          <w:szCs w:val="22"/>
          <w:lang w:eastAsia="en-US"/>
        </w:rPr>
        <w:t>P</w:t>
      </w:r>
      <w:r>
        <w:rPr>
          <w:rFonts w:cs="ScalaLancetPro" w:asciiTheme="majorHAnsi" w:hAnsiTheme="majorHAnsi"/>
          <w:sz w:val="22"/>
          <w:szCs w:val="22"/>
          <w:lang w:eastAsia="en-US"/>
        </w:rPr>
        <w:t xml:space="preserve"> &lt; 0.05 was considered as a statistical significance.</w:t>
      </w:r>
    </w:p>
    <w:p>
      <w:pPr>
        <w:widowControl w:val="0"/>
        <w:autoSpaceDE w:val="0"/>
        <w:autoSpaceDN w:val="0"/>
        <w:adjustRightInd w:val="0"/>
        <w:jc w:val="both"/>
        <w:rPr>
          <w:rFonts w:cs="Times New Roman" w:asciiTheme="majorHAnsi" w:hAnsiTheme="majorHAnsi"/>
          <w:b/>
        </w:rPr>
      </w:pPr>
    </w:p>
    <w:p>
      <w:pPr>
        <w:widowControl w:val="0"/>
        <w:autoSpaceDE w:val="0"/>
        <w:autoSpaceDN w:val="0"/>
        <w:adjustRightInd w:val="0"/>
        <w:jc w:val="both"/>
        <w:rPr>
          <w:rFonts w:cs="Times New Roman" w:asciiTheme="majorHAnsi" w:hAnsiTheme="majorHAnsi"/>
          <w:b/>
        </w:rPr>
      </w:pPr>
    </w:p>
    <w:p>
      <w:pPr>
        <w:widowControl w:val="0"/>
        <w:autoSpaceDE w:val="0"/>
        <w:autoSpaceDN w:val="0"/>
        <w:adjustRightInd w:val="0"/>
        <w:jc w:val="both"/>
        <w:rPr>
          <w:rFonts w:cs="Times New Roman" w:asciiTheme="majorHAnsi" w:hAnsiTheme="majorHAnsi"/>
          <w:b/>
        </w:rPr>
      </w:pPr>
    </w:p>
    <w:p>
      <w:pPr>
        <w:widowControl w:val="0"/>
        <w:autoSpaceDE w:val="0"/>
        <w:autoSpaceDN w:val="0"/>
        <w:adjustRightInd w:val="0"/>
        <w:jc w:val="both"/>
        <w:rPr>
          <w:rFonts w:cs="Times New Roman" w:asciiTheme="majorHAnsi" w:hAnsiTheme="majorHAnsi"/>
          <w:b/>
        </w:rPr>
      </w:pPr>
    </w:p>
    <w:p>
      <w:pPr>
        <w:widowControl w:val="0"/>
        <w:autoSpaceDE w:val="0"/>
        <w:autoSpaceDN w:val="0"/>
        <w:adjustRightInd w:val="0"/>
        <w:jc w:val="both"/>
        <w:rPr>
          <w:rFonts w:cs="ScalaLancetPro" w:asciiTheme="majorHAnsi" w:hAnsiTheme="majorHAnsi"/>
          <w:lang w:eastAsia="en-US"/>
        </w:rPr>
      </w:pPr>
      <w:r>
        <w:rPr>
          <w:rFonts w:cs="Times New Roman" w:asciiTheme="majorHAnsi" w:hAnsiTheme="majorHAnsi"/>
          <w:b/>
        </w:rPr>
        <w:t>Supplementary Table 3.</w:t>
      </w:r>
      <w:r>
        <w:rPr>
          <w:rFonts w:cs="Times New Roman" w:asciiTheme="majorHAnsi" w:hAnsiTheme="majorHAnsi"/>
        </w:rPr>
        <w:t xml:space="preserve"> </w:t>
      </w:r>
      <w:r>
        <w:rPr>
          <w:rFonts w:hint="eastAsia" w:cs="ScalaLancetPro" w:asciiTheme="majorHAnsi" w:hAnsiTheme="majorHAnsi"/>
        </w:rPr>
        <w:t>CMH-</w:t>
      </w:r>
      <w:r>
        <w:rPr>
          <w:rFonts w:cs="ScalaLancetPro" w:asciiTheme="majorHAnsi" w:hAnsiTheme="majorHAnsi"/>
          <w:i/>
        </w:rPr>
        <w:t>X</w:t>
      </w:r>
      <w:r>
        <w:rPr>
          <w:rFonts w:cs="ScalaLancetPro" w:asciiTheme="majorHAnsi" w:hAnsiTheme="majorHAnsi"/>
          <w:vertAlign w:val="superscript"/>
        </w:rPr>
        <w:t>2</w:t>
      </w:r>
      <w:r>
        <w:rPr>
          <w:rFonts w:cs="ScalaLancetPro" w:asciiTheme="majorHAnsi" w:hAnsiTheme="majorHAnsi"/>
        </w:rPr>
        <w:t xml:space="preserve"> test</w:t>
      </w:r>
      <w:r>
        <w:rPr>
          <w:rFonts w:hint="eastAsia" w:cs="ScalaLancetPro" w:asciiTheme="majorHAnsi" w:hAnsiTheme="majorHAnsi"/>
          <w:lang w:eastAsia="en-US"/>
        </w:rPr>
        <w:t xml:space="preserve"> </w:t>
      </w:r>
      <w:r>
        <w:rPr>
          <w:rFonts w:cs="ScalaLancetPro" w:asciiTheme="majorHAnsi" w:hAnsiTheme="majorHAnsi"/>
          <w:lang w:eastAsia="en-US"/>
        </w:rPr>
        <w:t xml:space="preserve">for </w:t>
      </w:r>
      <w:r>
        <w:rPr>
          <w:rFonts w:hint="eastAsia" w:cs="ScalaLancetPro" w:asciiTheme="majorHAnsi" w:hAnsiTheme="majorHAnsi"/>
          <w:lang w:eastAsia="en-US"/>
        </w:rPr>
        <w:t xml:space="preserve">comparison of </w:t>
      </w:r>
      <w:r>
        <w:rPr>
          <w:rFonts w:cs="ScalaLancetPro" w:asciiTheme="majorHAnsi" w:hAnsiTheme="majorHAnsi"/>
          <w:lang w:eastAsia="en-US"/>
        </w:rPr>
        <w:t xml:space="preserve">local recurrence </w:t>
      </w:r>
      <w:r>
        <w:rPr>
          <w:rFonts w:cs="ScalaLancetPro" w:asciiTheme="majorHAnsi" w:hAnsiTheme="majorHAnsi"/>
        </w:rPr>
        <w:t>between Huaier and control groups.</w:t>
      </w:r>
    </w:p>
    <w:p/>
    <w:tbl>
      <w:tblPr>
        <w:tblStyle w:val="7"/>
        <w:tblW w:w="8296"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48"/>
        <w:gridCol w:w="2282"/>
        <w:gridCol w:w="276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248" w:type="dxa"/>
            <w:tcBorders>
              <w:top w:val="single" w:color="auto" w:sz="4" w:space="0"/>
              <w:bottom w:val="single" w:color="auto" w:sz="4" w:space="0"/>
            </w:tcBorders>
          </w:tcPr>
          <w:p>
            <w:pPr>
              <w:rPr>
                <w:rFonts w:cs="ScalaLancetPro" w:asciiTheme="majorHAnsi" w:hAnsiTheme="majorHAnsi"/>
                <w:kern w:val="0"/>
                <w:sz w:val="24"/>
                <w:szCs w:val="24"/>
              </w:rPr>
            </w:pPr>
          </w:p>
        </w:tc>
        <w:tc>
          <w:tcPr>
            <w:tcW w:w="2282" w:type="dxa"/>
            <w:tcBorders>
              <w:top w:val="single" w:color="auto" w:sz="4" w:space="0"/>
              <w:bottom w:val="single" w:color="auto" w:sz="4" w:space="0"/>
            </w:tcBorders>
            <w:vAlign w:val="center"/>
          </w:tcPr>
          <w:p>
            <w:pPr>
              <w:jc w:val="center"/>
              <w:rPr>
                <w:rFonts w:cs="ScalaLancetPro" w:asciiTheme="majorHAnsi" w:hAnsiTheme="majorHAnsi"/>
                <w:kern w:val="0"/>
                <w:sz w:val="24"/>
                <w:szCs w:val="24"/>
              </w:rPr>
            </w:pPr>
            <w:r>
              <w:rPr>
                <w:rFonts w:hint="eastAsia" w:cs="ScalaLancetPro" w:asciiTheme="majorHAnsi" w:hAnsiTheme="majorHAnsi"/>
                <w:kern w:val="0"/>
                <w:sz w:val="24"/>
                <w:szCs w:val="24"/>
              </w:rPr>
              <w:t>H</w:t>
            </w:r>
            <w:r>
              <w:rPr>
                <w:rFonts w:cs="ScalaLancetPro" w:asciiTheme="majorHAnsi" w:hAnsiTheme="majorHAnsi"/>
                <w:kern w:val="0"/>
                <w:sz w:val="24"/>
                <w:szCs w:val="24"/>
              </w:rPr>
              <w:t>uaier（</w:t>
            </w:r>
            <w:r>
              <w:rPr>
                <w:rFonts w:hint="eastAsia" w:cs="ScalaLancetPro" w:asciiTheme="majorHAnsi" w:hAnsiTheme="majorHAnsi"/>
                <w:kern w:val="0"/>
                <w:sz w:val="24"/>
                <w:szCs w:val="24"/>
              </w:rPr>
              <w:t>N=686</w:t>
            </w:r>
            <w:r>
              <w:rPr>
                <w:rFonts w:cs="ScalaLancetPro" w:asciiTheme="majorHAnsi" w:hAnsiTheme="majorHAnsi"/>
                <w:kern w:val="0"/>
                <w:sz w:val="24"/>
                <w:szCs w:val="24"/>
              </w:rPr>
              <w:t>）</w:t>
            </w:r>
          </w:p>
        </w:tc>
        <w:tc>
          <w:tcPr>
            <w:tcW w:w="2766" w:type="dxa"/>
            <w:tcBorders>
              <w:top w:val="single" w:color="auto" w:sz="4" w:space="0"/>
              <w:bottom w:val="single" w:color="auto" w:sz="4" w:space="0"/>
            </w:tcBorders>
            <w:vAlign w:val="center"/>
          </w:tcPr>
          <w:p>
            <w:pPr>
              <w:jc w:val="center"/>
              <w:rPr>
                <w:rFonts w:cs="ScalaLancetPro" w:asciiTheme="majorHAnsi" w:hAnsiTheme="majorHAnsi"/>
                <w:kern w:val="0"/>
                <w:sz w:val="24"/>
                <w:szCs w:val="24"/>
              </w:rPr>
            </w:pPr>
            <w:r>
              <w:rPr>
                <w:rFonts w:cs="ScalaLancetPro" w:asciiTheme="majorHAnsi" w:hAnsiTheme="majorHAnsi"/>
                <w:kern w:val="0"/>
                <w:sz w:val="24"/>
                <w:szCs w:val="24"/>
              </w:rPr>
              <w:t>Control（</w:t>
            </w:r>
            <w:r>
              <w:rPr>
                <w:rFonts w:hint="eastAsia" w:cs="ScalaLancetPro" w:asciiTheme="majorHAnsi" w:hAnsiTheme="majorHAnsi"/>
                <w:kern w:val="0"/>
                <w:sz w:val="24"/>
                <w:szCs w:val="24"/>
              </w:rPr>
              <w:t>N=316</w:t>
            </w:r>
            <w:r>
              <w:rPr>
                <w:rFonts w:cs="ScalaLancetPro" w:asciiTheme="majorHAnsi" w:hAnsiTheme="majorHAnsi"/>
                <w:kern w:val="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248" w:type="dxa"/>
            <w:tcBorders>
              <w:top w:val="single" w:color="auto" w:sz="4" w:space="0"/>
            </w:tcBorders>
          </w:tcPr>
          <w:p>
            <w:pPr>
              <w:rPr>
                <w:rFonts w:cs="ScalaLancetPro" w:asciiTheme="majorHAnsi" w:hAnsiTheme="majorHAnsi"/>
                <w:kern w:val="0"/>
                <w:sz w:val="24"/>
                <w:szCs w:val="24"/>
              </w:rPr>
            </w:pPr>
            <w:r>
              <w:rPr>
                <w:rFonts w:cs="ScalaLancetPro" w:asciiTheme="majorHAnsi" w:hAnsiTheme="majorHAnsi"/>
                <w:kern w:val="0"/>
                <w:sz w:val="24"/>
                <w:szCs w:val="24"/>
              </w:rPr>
              <w:t>Recurrence-free, n(%)</w:t>
            </w:r>
          </w:p>
        </w:tc>
        <w:tc>
          <w:tcPr>
            <w:tcW w:w="2282" w:type="dxa"/>
            <w:tcBorders>
              <w:top w:val="single" w:color="auto" w:sz="4" w:space="0"/>
            </w:tcBorders>
            <w:vAlign w:val="center"/>
          </w:tcPr>
          <w:p>
            <w:pPr>
              <w:jc w:val="center"/>
              <w:rPr>
                <w:rFonts w:cs="ScalaLancetPro" w:asciiTheme="majorHAnsi" w:hAnsiTheme="majorHAnsi"/>
                <w:kern w:val="0"/>
                <w:sz w:val="24"/>
                <w:szCs w:val="24"/>
              </w:rPr>
            </w:pPr>
            <w:r>
              <w:rPr>
                <w:rFonts w:cs="ScalaLancetPro" w:asciiTheme="majorHAnsi" w:hAnsiTheme="majorHAnsi"/>
                <w:kern w:val="0"/>
                <w:sz w:val="24"/>
                <w:szCs w:val="24"/>
              </w:rPr>
              <w:t>472 (68.80)</w:t>
            </w:r>
          </w:p>
        </w:tc>
        <w:tc>
          <w:tcPr>
            <w:tcW w:w="2766" w:type="dxa"/>
            <w:tcBorders>
              <w:top w:val="single" w:color="auto" w:sz="4" w:space="0"/>
            </w:tcBorders>
            <w:vAlign w:val="center"/>
          </w:tcPr>
          <w:p>
            <w:pPr>
              <w:jc w:val="center"/>
              <w:rPr>
                <w:rFonts w:cs="ScalaLancetPro" w:asciiTheme="majorHAnsi" w:hAnsiTheme="majorHAnsi"/>
                <w:kern w:val="0"/>
                <w:sz w:val="24"/>
                <w:szCs w:val="24"/>
              </w:rPr>
            </w:pPr>
            <w:r>
              <w:rPr>
                <w:rFonts w:cs="ScalaLancetPro" w:asciiTheme="majorHAnsi" w:hAnsiTheme="majorHAnsi"/>
                <w:kern w:val="0"/>
                <w:sz w:val="24"/>
                <w:szCs w:val="24"/>
              </w:rPr>
              <w:t>191 (60.44)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248" w:type="dxa"/>
          </w:tcPr>
          <w:p>
            <w:pPr>
              <w:rPr>
                <w:rFonts w:cs="ScalaLancetPro" w:asciiTheme="majorHAnsi" w:hAnsiTheme="majorHAnsi"/>
                <w:kern w:val="0"/>
                <w:sz w:val="24"/>
                <w:szCs w:val="24"/>
              </w:rPr>
            </w:pPr>
            <w:r>
              <w:rPr>
                <w:rFonts w:cs="ScalaLancetPro" w:asciiTheme="majorHAnsi" w:hAnsiTheme="majorHAnsi"/>
                <w:kern w:val="0"/>
                <w:sz w:val="24"/>
                <w:szCs w:val="24"/>
              </w:rPr>
              <w:t>Intrahepatic recurrence*</w:t>
            </w:r>
            <w:r>
              <w:rPr>
                <w:rFonts w:hint="eastAsia" w:cs="ScalaLancetPro" w:asciiTheme="majorHAnsi" w:hAnsiTheme="majorHAnsi"/>
                <w:kern w:val="0"/>
                <w:sz w:val="24"/>
                <w:szCs w:val="24"/>
              </w:rPr>
              <w:t>,</w:t>
            </w:r>
            <w:r>
              <w:rPr>
                <w:rFonts w:cs="ScalaLancetPro" w:asciiTheme="majorHAnsi" w:hAnsiTheme="majorHAnsi"/>
                <w:kern w:val="0"/>
                <w:sz w:val="24"/>
                <w:szCs w:val="24"/>
              </w:rPr>
              <w:t xml:space="preserve"> n(%)</w:t>
            </w:r>
          </w:p>
        </w:tc>
        <w:tc>
          <w:tcPr>
            <w:tcW w:w="2282" w:type="dxa"/>
            <w:vAlign w:val="center"/>
          </w:tcPr>
          <w:p>
            <w:pPr>
              <w:jc w:val="center"/>
              <w:rPr>
                <w:rFonts w:cs="ScalaLancetPro" w:asciiTheme="majorHAnsi" w:hAnsiTheme="majorHAnsi"/>
                <w:kern w:val="0"/>
                <w:sz w:val="24"/>
                <w:szCs w:val="24"/>
              </w:rPr>
            </w:pPr>
            <w:r>
              <w:rPr>
                <w:rFonts w:cs="ScalaLancetPro" w:asciiTheme="majorHAnsi" w:hAnsiTheme="majorHAnsi"/>
                <w:kern w:val="0"/>
                <w:sz w:val="24"/>
                <w:szCs w:val="24"/>
              </w:rPr>
              <w:t>214 (31.20)</w:t>
            </w:r>
          </w:p>
        </w:tc>
        <w:tc>
          <w:tcPr>
            <w:tcW w:w="2766" w:type="dxa"/>
            <w:vAlign w:val="center"/>
          </w:tcPr>
          <w:p>
            <w:pPr>
              <w:jc w:val="center"/>
              <w:rPr>
                <w:rFonts w:cs="ScalaLancetPro" w:asciiTheme="majorHAnsi" w:hAnsiTheme="majorHAnsi"/>
                <w:kern w:val="0"/>
                <w:sz w:val="24"/>
                <w:szCs w:val="24"/>
              </w:rPr>
            </w:pPr>
            <w:r>
              <w:rPr>
                <w:rFonts w:cs="ScalaLancetPro" w:asciiTheme="majorHAnsi" w:hAnsiTheme="majorHAnsi"/>
                <w:kern w:val="0"/>
                <w:sz w:val="24"/>
                <w:szCs w:val="24"/>
              </w:rPr>
              <w:t>125 (39.56)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248" w:type="dxa"/>
          </w:tcPr>
          <w:p>
            <w:pPr>
              <w:rPr>
                <w:rFonts w:cs="ScalaLancetPro" w:asciiTheme="majorHAnsi" w:hAnsiTheme="majorHAnsi"/>
                <w:kern w:val="0"/>
                <w:sz w:val="24"/>
                <w:szCs w:val="24"/>
              </w:rPr>
            </w:pPr>
            <w:r>
              <w:rPr>
                <w:rFonts w:hint="eastAsia" w:cs="ScalaLancetPro" w:asciiTheme="majorHAnsi" w:hAnsiTheme="majorHAnsi"/>
                <w:kern w:val="0"/>
                <w:sz w:val="24"/>
                <w:szCs w:val="24"/>
              </w:rPr>
              <w:t>CMH-</w:t>
            </w:r>
            <w:r>
              <w:rPr>
                <w:rFonts w:cs="ScalaLancetPro" w:asciiTheme="majorHAnsi" w:hAnsiTheme="majorHAnsi"/>
                <w:kern w:val="0"/>
                <w:sz w:val="24"/>
                <w:szCs w:val="24"/>
              </w:rPr>
              <w:t>χ</w:t>
            </w:r>
            <w:r>
              <w:rPr>
                <w:rFonts w:hint="eastAsia" w:cs="ScalaLancetPro" w:asciiTheme="majorHAnsi" w:hAnsiTheme="majorHAnsi"/>
                <w:kern w:val="0"/>
                <w:sz w:val="24"/>
                <w:szCs w:val="24"/>
              </w:rPr>
              <w:t>2</w:t>
            </w:r>
          </w:p>
        </w:tc>
        <w:tc>
          <w:tcPr>
            <w:tcW w:w="5048" w:type="dxa"/>
            <w:gridSpan w:val="2"/>
            <w:vAlign w:val="center"/>
          </w:tcPr>
          <w:p>
            <w:pPr>
              <w:jc w:val="center"/>
              <w:rPr>
                <w:rFonts w:cs="ScalaLancetPro" w:asciiTheme="majorHAnsi" w:hAnsiTheme="majorHAnsi"/>
                <w:kern w:val="0"/>
                <w:sz w:val="24"/>
                <w:szCs w:val="24"/>
              </w:rPr>
            </w:pPr>
            <w:r>
              <w:rPr>
                <w:rFonts w:cs="ScalaLancetPro" w:asciiTheme="majorHAnsi" w:hAnsiTheme="majorHAnsi"/>
                <w:kern w:val="0"/>
                <w:sz w:val="24"/>
                <w:szCs w:val="24"/>
              </w:rPr>
              <w:t>6.7502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248" w:type="dxa"/>
          </w:tcPr>
          <w:p>
            <w:pPr>
              <w:rPr>
                <w:rFonts w:cs="ScalaLancetPro" w:asciiTheme="majorHAnsi" w:hAnsiTheme="majorHAnsi"/>
                <w:i/>
                <w:kern w:val="0"/>
                <w:sz w:val="24"/>
                <w:szCs w:val="24"/>
              </w:rPr>
            </w:pPr>
            <w:r>
              <w:rPr>
                <w:rFonts w:hint="eastAsia" w:cs="ScalaLancetPro" w:asciiTheme="majorHAnsi" w:hAnsiTheme="majorHAnsi"/>
                <w:i/>
                <w:kern w:val="0"/>
                <w:sz w:val="24"/>
                <w:szCs w:val="24"/>
              </w:rPr>
              <w:t>P</w:t>
            </w:r>
          </w:p>
        </w:tc>
        <w:tc>
          <w:tcPr>
            <w:tcW w:w="5048" w:type="dxa"/>
            <w:gridSpan w:val="2"/>
            <w:vAlign w:val="center"/>
          </w:tcPr>
          <w:p>
            <w:pPr>
              <w:jc w:val="center"/>
              <w:rPr>
                <w:rFonts w:cs="ScalaLancetPro" w:asciiTheme="majorHAnsi" w:hAnsiTheme="majorHAnsi"/>
                <w:kern w:val="0"/>
                <w:sz w:val="24"/>
                <w:szCs w:val="24"/>
              </w:rPr>
            </w:pPr>
            <w:r>
              <w:rPr>
                <w:rFonts w:cs="ScalaLancetPro" w:asciiTheme="majorHAnsi" w:hAnsiTheme="majorHAnsi"/>
                <w:kern w:val="0"/>
                <w:sz w:val="24"/>
                <w:szCs w:val="24"/>
              </w:rPr>
              <w:t>.0094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248" w:type="dxa"/>
          </w:tcPr>
          <w:p>
            <w:pPr>
              <w:rPr>
                <w:rFonts w:cs="ScalaLancetPro" w:asciiTheme="majorHAnsi" w:hAnsiTheme="majorHAnsi"/>
                <w:kern w:val="0"/>
                <w:sz w:val="24"/>
                <w:szCs w:val="24"/>
              </w:rPr>
            </w:pPr>
            <w:r>
              <w:rPr>
                <w:rFonts w:cs="ScalaLancetPro" w:asciiTheme="majorHAnsi" w:hAnsiTheme="majorHAnsi"/>
                <w:kern w:val="0"/>
                <w:sz w:val="24"/>
                <w:szCs w:val="24"/>
              </w:rPr>
              <w:t>D</w:t>
            </w:r>
            <w:r>
              <w:rPr>
                <w:rFonts w:hint="eastAsia" w:cs="ScalaLancetPro" w:asciiTheme="majorHAnsi" w:hAnsiTheme="majorHAnsi"/>
                <w:kern w:val="0"/>
                <w:sz w:val="24"/>
                <w:szCs w:val="24"/>
              </w:rPr>
              <w:t>ifference, 95% CI</w:t>
            </w:r>
          </w:p>
        </w:tc>
        <w:tc>
          <w:tcPr>
            <w:tcW w:w="5048" w:type="dxa"/>
            <w:gridSpan w:val="2"/>
            <w:vAlign w:val="center"/>
          </w:tcPr>
          <w:p>
            <w:pPr>
              <w:jc w:val="center"/>
              <w:rPr>
                <w:rFonts w:cs="ScalaLancetPro" w:asciiTheme="majorHAnsi" w:hAnsiTheme="majorHAnsi"/>
                <w:kern w:val="0"/>
                <w:sz w:val="24"/>
                <w:szCs w:val="24"/>
              </w:rPr>
            </w:pPr>
            <w:r>
              <w:rPr>
                <w:rFonts w:cs="ScalaLancetPro" w:asciiTheme="majorHAnsi" w:hAnsiTheme="majorHAnsi"/>
                <w:kern w:val="0"/>
                <w:sz w:val="24"/>
                <w:szCs w:val="24"/>
              </w:rPr>
              <w:t xml:space="preserve">8.36 </w:t>
            </w:r>
            <w:r>
              <w:rPr>
                <w:rFonts w:hint="eastAsia" w:cs="ScalaLancetPro" w:asciiTheme="majorHAnsi" w:hAnsiTheme="majorHAnsi"/>
                <w:kern w:val="0"/>
                <w:sz w:val="24"/>
                <w:szCs w:val="24"/>
              </w:rPr>
              <w:t>(</w:t>
            </w:r>
            <w:r>
              <w:rPr>
                <w:rFonts w:cs="ScalaLancetPro" w:asciiTheme="majorHAnsi" w:hAnsiTheme="majorHAnsi"/>
                <w:kern w:val="0"/>
                <w:sz w:val="24"/>
                <w:szCs w:val="24"/>
              </w:rPr>
              <w:t>1.95,14.77)</w:t>
            </w:r>
          </w:p>
        </w:tc>
      </w:tr>
    </w:tbl>
    <w:p>
      <w:pPr>
        <w:pStyle w:val="9"/>
        <w:ind w:left="420" w:firstLine="0" w:firstLineChars="0"/>
      </w:pPr>
    </w:p>
    <w:p>
      <w:pPr>
        <w:rPr>
          <w:rFonts w:cs="ScalaLancetPro" w:asciiTheme="majorHAnsi" w:hAnsiTheme="majorHAnsi"/>
          <w:sz w:val="22"/>
          <w:szCs w:val="22"/>
          <w:lang w:eastAsia="en-US"/>
        </w:rPr>
      </w:pPr>
      <w:r>
        <w:rPr>
          <w:rFonts w:cs="ScalaLancetPro" w:asciiTheme="majorHAnsi" w:hAnsiTheme="majorHAnsi"/>
          <w:sz w:val="22"/>
          <w:szCs w:val="22"/>
          <w:lang w:eastAsia="en-US"/>
        </w:rPr>
        <w:t xml:space="preserve">    *</w:t>
      </w:r>
      <w:r>
        <w:rPr>
          <w:rFonts w:hint="eastAsia" w:cs="ScalaLancetPro" w:asciiTheme="majorHAnsi" w:hAnsiTheme="majorHAnsi"/>
          <w:sz w:val="22"/>
          <w:szCs w:val="22"/>
          <w:lang w:eastAsia="en-US"/>
        </w:rPr>
        <w:t xml:space="preserve">: Among those with local recurrence, 15 patients </w:t>
      </w:r>
      <w:r>
        <w:rPr>
          <w:rFonts w:cs="ScalaLancetPro" w:asciiTheme="majorHAnsi" w:hAnsiTheme="majorHAnsi"/>
          <w:sz w:val="22"/>
          <w:szCs w:val="22"/>
          <w:lang w:eastAsia="en-US"/>
        </w:rPr>
        <w:t>in Huaier group and 7 patients in control group had</w:t>
      </w:r>
      <w:r>
        <w:rPr>
          <w:rFonts w:hint="eastAsia" w:cs="ScalaLancetPro" w:asciiTheme="majorHAnsi" w:hAnsiTheme="majorHAnsi"/>
          <w:sz w:val="22"/>
          <w:szCs w:val="22"/>
          <w:lang w:eastAsia="en-US"/>
        </w:rPr>
        <w:t xml:space="preserve"> </w:t>
      </w:r>
      <w:r>
        <w:rPr>
          <w:rFonts w:cs="ScalaLancetPro" w:asciiTheme="majorHAnsi" w:hAnsiTheme="majorHAnsi"/>
          <w:sz w:val="22"/>
          <w:szCs w:val="22"/>
          <w:lang w:eastAsia="en-US"/>
        </w:rPr>
        <w:t>both intrahepatic and extrahepatic recurrence, respectively.</w:t>
      </w:r>
    </w:p>
    <w:p/>
    <w:p>
      <w:pPr>
        <w:autoSpaceDE w:val="0"/>
        <w:autoSpaceDN w:val="0"/>
        <w:adjustRightInd w:val="0"/>
        <w:jc w:val="both"/>
        <w:rPr>
          <w:rFonts w:cs="Times New Roman" w:asciiTheme="majorHAnsi" w:hAnsiTheme="majorHAnsi"/>
          <w:b/>
        </w:rPr>
      </w:pPr>
    </w:p>
    <w:p>
      <w:pPr>
        <w:autoSpaceDE w:val="0"/>
        <w:autoSpaceDN w:val="0"/>
        <w:adjustRightInd w:val="0"/>
        <w:jc w:val="both"/>
        <w:rPr>
          <w:rFonts w:cs="Times New Roman" w:asciiTheme="majorHAnsi" w:hAnsiTheme="majorHAnsi"/>
          <w:b/>
        </w:rPr>
      </w:pPr>
    </w:p>
    <w:p>
      <w:pPr>
        <w:autoSpaceDE w:val="0"/>
        <w:autoSpaceDN w:val="0"/>
        <w:adjustRightInd w:val="0"/>
        <w:jc w:val="both"/>
        <w:rPr>
          <w:rFonts w:cs="Times New Roman" w:asciiTheme="majorHAnsi" w:hAnsiTheme="majorHAnsi"/>
          <w:b/>
        </w:rPr>
      </w:pPr>
    </w:p>
    <w:p>
      <w:pPr>
        <w:autoSpaceDE w:val="0"/>
        <w:autoSpaceDN w:val="0"/>
        <w:adjustRightInd w:val="0"/>
        <w:jc w:val="both"/>
        <w:rPr>
          <w:rFonts w:cs="Times New Roman" w:asciiTheme="majorHAnsi" w:hAnsiTheme="majorHAnsi"/>
          <w:b/>
        </w:rPr>
      </w:pPr>
    </w:p>
    <w:p>
      <w:pPr>
        <w:autoSpaceDE w:val="0"/>
        <w:autoSpaceDN w:val="0"/>
        <w:adjustRightInd w:val="0"/>
        <w:jc w:val="both"/>
        <w:rPr>
          <w:rFonts w:cs="Times New Roman" w:asciiTheme="majorHAnsi" w:hAnsiTheme="majorHAnsi"/>
          <w:b/>
        </w:rPr>
      </w:pPr>
    </w:p>
    <w:p>
      <w:pPr>
        <w:autoSpaceDE w:val="0"/>
        <w:autoSpaceDN w:val="0"/>
        <w:adjustRightInd w:val="0"/>
        <w:jc w:val="both"/>
        <w:rPr>
          <w:rFonts w:cs="Times New Roman" w:asciiTheme="majorHAnsi" w:hAnsiTheme="majorHAnsi"/>
          <w:b/>
        </w:rPr>
      </w:pPr>
    </w:p>
    <w:p>
      <w:pPr>
        <w:autoSpaceDE w:val="0"/>
        <w:autoSpaceDN w:val="0"/>
        <w:adjustRightInd w:val="0"/>
        <w:jc w:val="both"/>
        <w:rPr>
          <w:rFonts w:cs="Times New Roman" w:asciiTheme="majorHAnsi" w:hAnsiTheme="majorHAnsi"/>
          <w:b/>
        </w:rPr>
      </w:pPr>
    </w:p>
    <w:p>
      <w:pPr>
        <w:autoSpaceDE w:val="0"/>
        <w:autoSpaceDN w:val="0"/>
        <w:adjustRightInd w:val="0"/>
        <w:jc w:val="both"/>
        <w:rPr>
          <w:rFonts w:cs="ScalaLancetPro" w:asciiTheme="majorHAnsi" w:hAnsiTheme="majorHAnsi"/>
          <w:lang w:eastAsia="en-US"/>
        </w:rPr>
      </w:pPr>
      <w:bookmarkStart w:id="0" w:name="_GoBack"/>
      <w:bookmarkEnd w:id="0"/>
      <w:r>
        <w:rPr>
          <w:rFonts w:cs="Times New Roman" w:asciiTheme="majorHAnsi" w:hAnsiTheme="majorHAnsi"/>
          <w:b/>
        </w:rPr>
        <w:t>Supplementary Table 4.</w:t>
      </w:r>
      <w:r>
        <w:rPr>
          <w:rFonts w:cs="Times New Roman" w:asciiTheme="majorHAnsi" w:hAnsiTheme="majorHAnsi"/>
        </w:rPr>
        <w:t xml:space="preserve"> </w:t>
      </w:r>
      <w:r>
        <w:rPr>
          <w:rFonts w:cs="ScalaLancetPro" w:asciiTheme="majorHAnsi" w:hAnsiTheme="majorHAnsi"/>
        </w:rPr>
        <w:t xml:space="preserve">Breslow-Day test for the homogeneity across centers on recurrence, death, and </w:t>
      </w:r>
      <w:r>
        <w:rPr>
          <w:rFonts w:cs="ScalaLancetPro" w:asciiTheme="majorHAnsi" w:hAnsiTheme="majorHAnsi"/>
          <w:lang w:eastAsia="en-US"/>
        </w:rPr>
        <w:t>extrahepatic recurrence</w:t>
      </w:r>
    </w:p>
    <w:p>
      <w:pPr>
        <w:autoSpaceDE w:val="0"/>
        <w:autoSpaceDN w:val="0"/>
        <w:adjustRightInd w:val="0"/>
        <w:ind w:firstLine="810"/>
        <w:jc w:val="both"/>
        <w:rPr>
          <w:rFonts w:cs="ScalaLancetPro" w:asciiTheme="majorHAnsi" w:hAnsiTheme="majorHAnsi"/>
          <w:lang w:eastAsia="en-US"/>
        </w:rPr>
      </w:pPr>
      <w:r>
        <w:rPr>
          <w:rFonts w:cs="ScalaLancetPro" w:asciiTheme="majorHAnsi" w:hAnsiTheme="majorHAnsi"/>
          <w:lang w:eastAsia="en-US"/>
        </w:rPr>
        <w:drawing>
          <wp:inline distT="0" distB="0" distL="0" distR="0">
            <wp:extent cx="4686300" cy="1461770"/>
            <wp:effectExtent l="0" t="0" r="0" b="11430"/>
            <wp:docPr id="2" name="Picture 1" descr="Macintosh HD:Users:qianchen:Desktop:Qian-mac air-2011:CQ data-home:2011-2017-China-Wuhan:2017-China-Tongji:2017 Huaier HCC clinical trials:2017 7 Gastroentology Submission:New figures and tables:Tab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qianchen:Desktop:Qian-mac air-2011:CQ data-home:2011-2017-China-Wuhan:2017-China-Tongji:2017 Huaier HCC clinical trials:2017 7 Gastroentology Submission:New figures and tables:Table 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686440" cy="1462010"/>
                    </a:xfrm>
                    <a:prstGeom prst="rect">
                      <a:avLst/>
                    </a:prstGeom>
                    <a:noFill/>
                    <a:ln>
                      <a:noFill/>
                    </a:ln>
                  </pic:spPr>
                </pic:pic>
              </a:graphicData>
            </a:graphic>
          </wp:inline>
        </w:drawing>
      </w: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auto"/>
    <w:pitch w:val="default"/>
    <w:sig w:usb0="E00002FF" w:usb1="4000045F" w:usb2="00000000" w:usb3="00000000" w:csb0="2000019F" w:csb1="00000000"/>
  </w:font>
  <w:font w:name="MS Mincho">
    <w:panose1 w:val="02020609040205080304"/>
    <w:charset w:val="4E"/>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Lucida Grande">
    <w:altName w:val="Courier New"/>
    <w:panose1 w:val="020B0600040502020204"/>
    <w:charset w:val="00"/>
    <w:family w:val="auto"/>
    <w:pitch w:val="default"/>
    <w:sig w:usb0="00000000" w:usb1="00000000" w:usb2="00000000" w:usb3="00000000" w:csb0="000001BF" w:csb1="00000000"/>
  </w:font>
  <w:font w:name="ScalaLancetPro">
    <w:altName w:val="Cambria"/>
    <w:panose1 w:val="00000000000000000000"/>
    <w:charset w:val="4D"/>
    <w:family w:val="auto"/>
    <w:pitch w:val="default"/>
    <w:sig w:usb0="00000000" w:usb1="00000000" w:usb2="00000000" w:usb3="00000000" w:csb0="00000001" w:csb1="00000000"/>
  </w:font>
  <w:font w:name="Courier New">
    <w:panose1 w:val="02070309020205020404"/>
    <w:charset w:val="00"/>
    <w:family w:val="auto"/>
    <w:pitch w:val="default"/>
    <w:sig w:usb0="E0002AFF" w:usb1="C0007843" w:usb2="00000009" w:usb3="00000000" w:csb0="400001FF" w:csb1="FFFF0000"/>
  </w:font>
  <w:font w:name="FrutigerLTPro-BoldCn">
    <w:altName w:val="Segoe Print"/>
    <w:panose1 w:val="00000000000000000000"/>
    <w:charset w:val="00"/>
    <w:family w:val="auto"/>
    <w:pitch w:val="default"/>
    <w:sig w:usb0="00000000" w:usb1="00000000" w:usb2="00000000" w:usb3="00000000" w:csb0="00000000" w:csb1="00000000"/>
  </w:font>
  <w:font w:name="FrutigerLTPro-Light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ource Sans Pro">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23"/>
    <w:rsid w:val="00012547"/>
    <w:rsid w:val="000206C5"/>
    <w:rsid w:val="0008161B"/>
    <w:rsid w:val="00092819"/>
    <w:rsid w:val="000964EC"/>
    <w:rsid w:val="000A0111"/>
    <w:rsid w:val="000A3567"/>
    <w:rsid w:val="000C2F65"/>
    <w:rsid w:val="000F356C"/>
    <w:rsid w:val="001476DF"/>
    <w:rsid w:val="00164614"/>
    <w:rsid w:val="002741BC"/>
    <w:rsid w:val="002A5B34"/>
    <w:rsid w:val="002B511B"/>
    <w:rsid w:val="00301825"/>
    <w:rsid w:val="00372E28"/>
    <w:rsid w:val="0041360B"/>
    <w:rsid w:val="004872D2"/>
    <w:rsid w:val="004A7AD1"/>
    <w:rsid w:val="00535F0E"/>
    <w:rsid w:val="005407E0"/>
    <w:rsid w:val="00547375"/>
    <w:rsid w:val="00550256"/>
    <w:rsid w:val="00586B37"/>
    <w:rsid w:val="00591CDD"/>
    <w:rsid w:val="005A442F"/>
    <w:rsid w:val="005E537E"/>
    <w:rsid w:val="0062430C"/>
    <w:rsid w:val="006727F2"/>
    <w:rsid w:val="006D5732"/>
    <w:rsid w:val="00722DEA"/>
    <w:rsid w:val="00733B20"/>
    <w:rsid w:val="00747723"/>
    <w:rsid w:val="007577C7"/>
    <w:rsid w:val="0077255F"/>
    <w:rsid w:val="00776D39"/>
    <w:rsid w:val="00782155"/>
    <w:rsid w:val="0079299C"/>
    <w:rsid w:val="0079731A"/>
    <w:rsid w:val="007B615D"/>
    <w:rsid w:val="00803E66"/>
    <w:rsid w:val="008515D9"/>
    <w:rsid w:val="00866CBD"/>
    <w:rsid w:val="00901D03"/>
    <w:rsid w:val="0090781F"/>
    <w:rsid w:val="0091184F"/>
    <w:rsid w:val="00967907"/>
    <w:rsid w:val="00995DF0"/>
    <w:rsid w:val="009C2EC7"/>
    <w:rsid w:val="009C53E6"/>
    <w:rsid w:val="009D21DA"/>
    <w:rsid w:val="009E2F54"/>
    <w:rsid w:val="00A55DCA"/>
    <w:rsid w:val="00AC72CD"/>
    <w:rsid w:val="00B11AED"/>
    <w:rsid w:val="00B31E9D"/>
    <w:rsid w:val="00BE2A00"/>
    <w:rsid w:val="00C13987"/>
    <w:rsid w:val="00C70410"/>
    <w:rsid w:val="00C9075E"/>
    <w:rsid w:val="00D146BA"/>
    <w:rsid w:val="00D34068"/>
    <w:rsid w:val="00D74E73"/>
    <w:rsid w:val="00DA1D3E"/>
    <w:rsid w:val="00DA59A3"/>
    <w:rsid w:val="00DC0C66"/>
    <w:rsid w:val="00EB0C86"/>
    <w:rsid w:val="00EB2BC4"/>
    <w:rsid w:val="00EE1942"/>
    <w:rsid w:val="00F52820"/>
    <w:rsid w:val="00FA2782"/>
    <w:rsid w:val="00FC1E80"/>
    <w:rsid w:val="00FD47F5"/>
    <w:rsid w:val="17B47BC7"/>
    <w:rsid w:val="64E916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rFonts w:ascii="Lucida Grande" w:hAnsi="Lucida Grande" w:cs="Lucida Grande"/>
      <w:sz w:val="18"/>
      <w:szCs w:val="18"/>
    </w:rPr>
  </w:style>
  <w:style w:type="paragraph" w:styleId="3">
    <w:name w:val="Normal (Web)"/>
    <w:basedOn w:val="1"/>
    <w:semiHidden/>
    <w:unhideWhenUsed/>
    <w:uiPriority w:val="99"/>
    <w:rPr>
      <w:sz w:val="24"/>
    </w:rPr>
  </w:style>
  <w:style w:type="character" w:styleId="5">
    <w:name w:val="Hyperlink"/>
    <w:basedOn w:val="4"/>
    <w:unhideWhenUsed/>
    <w:uiPriority w:val="99"/>
    <w:rPr>
      <w:color w:val="0000FF"/>
      <w:u w:val="single"/>
    </w:rPr>
  </w:style>
  <w:style w:type="table" w:styleId="7">
    <w:name w:val="Table Grid"/>
    <w:basedOn w:val="6"/>
    <w:qFormat/>
    <w:uiPriority w:val="39"/>
    <w:rPr>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Balloon Text Char"/>
    <w:basedOn w:val="4"/>
    <w:link w:val="2"/>
    <w:semiHidden/>
    <w:uiPriority w:val="99"/>
    <w:rPr>
      <w:rFonts w:ascii="Lucida Grande" w:hAnsi="Lucida Grande" w:cs="Lucida Grande"/>
      <w:sz w:val="18"/>
      <w:szCs w:val="18"/>
      <w:lang w:eastAsia="zh-CN"/>
    </w:rPr>
  </w:style>
  <w:style w:type="paragraph" w:styleId="9">
    <w:name w:val="List Paragraph"/>
    <w:basedOn w:val="1"/>
    <w:qFormat/>
    <w:uiPriority w:val="34"/>
    <w:pPr>
      <w:ind w:firstLine="420" w:firstLineChars="200"/>
    </w:pPr>
  </w:style>
  <w:style w:type="character" w:customStyle="1" w:styleId="10">
    <w:name w:val="fontstyle01"/>
    <w:basedOn w:val="4"/>
    <w:uiPriority w:val="0"/>
    <w:rPr>
      <w:rFonts w:ascii="FrutigerLTPro-BoldCn" w:hAnsi="FrutigerLTPro-BoldCn" w:eastAsia="FrutigerLTPro-BoldCn" w:cs="FrutigerLTPro-BoldCn"/>
      <w:b/>
      <w:color w:val="242021"/>
      <w:sz w:val="16"/>
      <w:szCs w:val="16"/>
    </w:rPr>
  </w:style>
  <w:style w:type="character" w:customStyle="1" w:styleId="11">
    <w:name w:val="fontstyle21"/>
    <w:basedOn w:val="4"/>
    <w:uiPriority w:val="0"/>
    <w:rPr>
      <w:rFonts w:ascii="FrutigerLTPro-LightCn" w:hAnsi="FrutigerLTPro-LightCn" w:eastAsia="FrutigerLTPro-LightCn" w:cs="FrutigerLTPro-LightCn"/>
      <w:color w:val="242021"/>
      <w:sz w:val="12"/>
      <w:szCs w:val="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671</Words>
  <Characters>3828</Characters>
  <Lines>31</Lines>
  <Paragraphs>8</Paragraphs>
  <TotalTime>105</TotalTime>
  <ScaleCrop>false</ScaleCrop>
  <LinksUpToDate>false</LinksUpToDate>
  <CharactersWithSpaces>4491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2017-08-02T12:35:00Z</dcterms:created>
  <dc:creator>Qian Chen</dc:creator>
  <cp:lastModifiedBy>C</cp:lastModifiedBy>
  <dcterms:modified xsi:type="dcterms:W3CDTF">2018-05-24T03:10:22Z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