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9764" w14:textId="5CCA3135" w:rsidR="005A5591" w:rsidRPr="00F4402C" w:rsidRDefault="00174375" w:rsidP="00EC53DB">
      <w:pPr>
        <w:jc w:val="both"/>
        <w:outlineLvl w:val="0"/>
        <w:rPr>
          <w:rFonts w:cs="Arial"/>
          <w:b/>
        </w:rPr>
      </w:pPr>
      <w:r>
        <w:rPr>
          <w:rFonts w:cs="Arial"/>
          <w:b/>
        </w:rPr>
        <w:t xml:space="preserve">SUPPLEMENTAL FIGURE LEGENDS </w:t>
      </w:r>
    </w:p>
    <w:p w14:paraId="48993B0C" w14:textId="77777777" w:rsidR="002C638C" w:rsidRDefault="002C638C" w:rsidP="005953A5">
      <w:pPr>
        <w:jc w:val="both"/>
        <w:rPr>
          <w:rFonts w:cs="Arial"/>
          <w:b/>
          <w:bCs/>
        </w:rPr>
      </w:pPr>
    </w:p>
    <w:p w14:paraId="668ED1F6" w14:textId="2F115FE9" w:rsidR="005A5591" w:rsidRPr="005F4288" w:rsidRDefault="005A5591" w:rsidP="005953A5">
      <w:pPr>
        <w:jc w:val="both"/>
        <w:rPr>
          <w:rFonts w:cs="Arial"/>
          <w:b/>
          <w:bCs/>
          <w:lang w:val="en-GB"/>
        </w:rPr>
      </w:pPr>
      <w:r w:rsidRPr="00F4402C">
        <w:rPr>
          <w:rFonts w:cs="Arial"/>
          <w:b/>
          <w:bCs/>
        </w:rPr>
        <w:t>Figure S</w:t>
      </w:r>
      <w:proofErr w:type="gramStart"/>
      <w:r w:rsidRPr="00F4402C">
        <w:rPr>
          <w:rFonts w:cs="Arial"/>
          <w:b/>
          <w:bCs/>
          <w:lang w:val="en-GB"/>
        </w:rPr>
        <w:t>1</w:t>
      </w:r>
      <w:r w:rsidR="0015260C">
        <w:rPr>
          <w:rFonts w:cs="Arial"/>
          <w:b/>
          <w:bCs/>
          <w:lang w:val="en-GB"/>
        </w:rPr>
        <w:t xml:space="preserve">  </w:t>
      </w:r>
      <w:r w:rsidR="005F4288" w:rsidRPr="00497F24">
        <w:rPr>
          <w:rFonts w:cs="Arial"/>
          <w:bCs/>
          <w:i/>
          <w:lang w:val="en-GB"/>
        </w:rPr>
        <w:t>Mdr</w:t>
      </w:r>
      <w:proofErr w:type="gramEnd"/>
      <w:r w:rsidR="005F4288" w:rsidRPr="00497F24">
        <w:rPr>
          <w:rFonts w:cs="Arial"/>
          <w:bCs/>
          <w:i/>
          <w:lang w:val="en-GB"/>
        </w:rPr>
        <w:t>2</w:t>
      </w:r>
      <w:r w:rsidR="005F4288" w:rsidRPr="00401226">
        <w:rPr>
          <w:rFonts w:cs="Arial"/>
          <w:bCs/>
          <w:lang w:val="en-GB"/>
        </w:rPr>
        <w:t xml:space="preserve"> deficiency results in cholestatic liver injury and </w:t>
      </w:r>
      <w:proofErr w:type="spellStart"/>
      <w:r w:rsidR="005F4288" w:rsidRPr="00401226">
        <w:rPr>
          <w:rFonts w:cs="Arial"/>
          <w:bCs/>
          <w:lang w:val="en-GB"/>
        </w:rPr>
        <w:t>t</w:t>
      </w:r>
      <w:r w:rsidR="00C431B1">
        <w:rPr>
          <w:rFonts w:cs="Arial"/>
          <w:bCs/>
          <w:lang w:val="en-GB"/>
        </w:rPr>
        <w:t>umor</w:t>
      </w:r>
      <w:proofErr w:type="spellEnd"/>
      <w:r w:rsidR="00C431B1">
        <w:rPr>
          <w:rFonts w:cs="Arial"/>
          <w:bCs/>
          <w:lang w:val="en-GB"/>
        </w:rPr>
        <w:t xml:space="preserve"> d</w:t>
      </w:r>
      <w:r w:rsidRPr="00401226">
        <w:rPr>
          <w:rFonts w:cs="Arial"/>
          <w:bCs/>
          <w:lang w:val="en-GB"/>
        </w:rPr>
        <w:t xml:space="preserve">evelopment. </w:t>
      </w:r>
      <w:r w:rsidRPr="00497F24">
        <w:rPr>
          <w:rFonts w:cs="Arial"/>
          <w:i/>
        </w:rPr>
        <w:t>Mdr2</w:t>
      </w:r>
      <w:r w:rsidRPr="00497F24">
        <w:rPr>
          <w:rFonts w:cs="Arial"/>
          <w:i/>
          <w:vertAlign w:val="superscript"/>
        </w:rPr>
        <w:t>-/-</w:t>
      </w:r>
      <w:r w:rsidRPr="00F4402C">
        <w:rPr>
          <w:rFonts w:cs="Arial"/>
          <w:vertAlign w:val="superscript"/>
        </w:rPr>
        <w:t xml:space="preserve"> </w:t>
      </w:r>
      <w:r w:rsidRPr="00F4402C">
        <w:rPr>
          <w:rFonts w:cs="Arial"/>
        </w:rPr>
        <w:t xml:space="preserve">and WT mice at the age of 8 and 52 weeks were included in this analysis. (A) Serum </w:t>
      </w:r>
      <w:r w:rsidR="00C431B1">
        <w:rPr>
          <w:rFonts w:cs="Arial"/>
        </w:rPr>
        <w:t>aspartate</w:t>
      </w:r>
      <w:r w:rsidRPr="00F4402C">
        <w:rPr>
          <w:rFonts w:cs="Arial"/>
        </w:rPr>
        <w:t xml:space="preserve"> aminotransferase levels</w:t>
      </w:r>
      <w:r w:rsidR="00604EE6">
        <w:rPr>
          <w:rFonts w:cs="Arial"/>
        </w:rPr>
        <w:t xml:space="preserve"> (AST)</w:t>
      </w:r>
      <w:r w:rsidRPr="00F4402C">
        <w:rPr>
          <w:rFonts w:cs="Arial"/>
        </w:rPr>
        <w:t>.</w:t>
      </w:r>
      <w:r w:rsidR="005F4288">
        <w:rPr>
          <w:rFonts w:cs="Arial"/>
          <w:b/>
          <w:bCs/>
        </w:rPr>
        <w:t xml:space="preserve"> </w:t>
      </w:r>
      <w:r w:rsidRPr="00F4402C">
        <w:rPr>
          <w:rFonts w:cs="Arial"/>
        </w:rPr>
        <w:t xml:space="preserve">(B) The liver weight </w:t>
      </w:r>
      <w:r w:rsidRPr="00F4402C">
        <w:rPr>
          <w:rFonts w:cs="Arial"/>
          <w:i/>
          <w:iCs/>
        </w:rPr>
        <w:t>versus</w:t>
      </w:r>
      <w:r w:rsidRPr="00F4402C">
        <w:rPr>
          <w:rFonts w:cs="Arial"/>
        </w:rPr>
        <w:t xml:space="preserve"> body weight ratio. (C) Serum cholesterol levels.</w:t>
      </w:r>
      <w:r w:rsidR="005F4288">
        <w:rPr>
          <w:rFonts w:cs="Arial"/>
          <w:b/>
          <w:bCs/>
        </w:rPr>
        <w:t xml:space="preserve"> </w:t>
      </w:r>
      <w:r w:rsidR="002E022C">
        <w:rPr>
          <w:rFonts w:cs="Arial"/>
        </w:rPr>
        <w:t>(D</w:t>
      </w:r>
      <w:r w:rsidRPr="00F4402C">
        <w:rPr>
          <w:rFonts w:cs="Arial"/>
        </w:rPr>
        <w:t xml:space="preserve">) Representative </w:t>
      </w:r>
      <w:proofErr w:type="spellStart"/>
      <w:r w:rsidRPr="00F4402C">
        <w:rPr>
          <w:rFonts w:cs="Arial"/>
        </w:rPr>
        <w:t>sirius</w:t>
      </w:r>
      <w:proofErr w:type="spellEnd"/>
      <w:r w:rsidRPr="00F4402C">
        <w:rPr>
          <w:rFonts w:cs="Arial"/>
        </w:rPr>
        <w:t xml:space="preserve"> red staining</w:t>
      </w:r>
      <w:r w:rsidR="00C431B1">
        <w:rPr>
          <w:rFonts w:cs="Arial"/>
        </w:rPr>
        <w:t xml:space="preserve"> of</w:t>
      </w:r>
      <w:r w:rsidRPr="00F4402C">
        <w:rPr>
          <w:rFonts w:cs="Arial"/>
        </w:rPr>
        <w:t xml:space="preserve"> liver paraffin</w:t>
      </w:r>
      <w:r w:rsidR="00604EE6">
        <w:rPr>
          <w:rFonts w:cs="Arial"/>
        </w:rPr>
        <w:t xml:space="preserve"> sections are shown</w:t>
      </w:r>
      <w:r w:rsidRPr="00F4402C">
        <w:rPr>
          <w:rFonts w:cs="Arial"/>
        </w:rPr>
        <w:t xml:space="preserve">. </w:t>
      </w:r>
      <w:r w:rsidR="00EC53DB">
        <w:rPr>
          <w:rFonts w:cs="Arial"/>
        </w:rPr>
        <w:t>(E</w:t>
      </w:r>
      <w:r w:rsidR="00604EE6">
        <w:rPr>
          <w:rFonts w:cs="Arial"/>
        </w:rPr>
        <w:t xml:space="preserve">) </w:t>
      </w:r>
      <w:r w:rsidR="00604EE6" w:rsidRPr="00F4402C">
        <w:rPr>
          <w:rFonts w:cs="Arial"/>
        </w:rPr>
        <w:t>Quantification represents positive staining</w:t>
      </w:r>
      <w:r w:rsidR="00604EE6">
        <w:rPr>
          <w:rFonts w:cs="Arial"/>
        </w:rPr>
        <w:t xml:space="preserve"> as percentage of area fraction using ImageJ© software. </w:t>
      </w:r>
      <w:r w:rsidR="00EC53DB">
        <w:rPr>
          <w:rFonts w:cs="Arial"/>
        </w:rPr>
        <w:t>(F</w:t>
      </w:r>
      <w:r w:rsidRPr="00F4402C">
        <w:rPr>
          <w:rFonts w:cs="Arial"/>
        </w:rPr>
        <w:t xml:space="preserve">) Macroscopic appearance of </w:t>
      </w:r>
      <w:proofErr w:type="gramStart"/>
      <w:r w:rsidRPr="00F4402C">
        <w:rPr>
          <w:rFonts w:cs="Arial"/>
        </w:rPr>
        <w:t>52 week-old</w:t>
      </w:r>
      <w:proofErr w:type="gramEnd"/>
      <w:r w:rsidRPr="00F4402C">
        <w:rPr>
          <w:rFonts w:cs="Arial"/>
        </w:rPr>
        <w:t xml:space="preserve"> </w:t>
      </w:r>
      <w:r w:rsidRPr="00497F24">
        <w:rPr>
          <w:rFonts w:cs="Arial"/>
          <w:i/>
        </w:rPr>
        <w:t>Mdr2</w:t>
      </w:r>
      <w:r w:rsidRPr="00497F24">
        <w:rPr>
          <w:rFonts w:cs="Arial"/>
          <w:bCs/>
          <w:i/>
          <w:vertAlign w:val="superscript"/>
        </w:rPr>
        <w:t>-/-</w:t>
      </w:r>
      <w:r w:rsidRPr="00F4402C">
        <w:rPr>
          <w:rFonts w:cs="Arial"/>
          <w:bCs/>
          <w:vertAlign w:val="superscript"/>
        </w:rPr>
        <w:t xml:space="preserve"> </w:t>
      </w:r>
      <w:r w:rsidRPr="00F4402C">
        <w:rPr>
          <w:rFonts w:cs="Arial"/>
        </w:rPr>
        <w:t>livers showing large tumors on liver surface.</w:t>
      </w:r>
      <w:r w:rsidR="00604EE6">
        <w:rPr>
          <w:rFonts w:cs="Arial"/>
        </w:rPr>
        <w:t xml:space="preserve"> (G) </w:t>
      </w:r>
      <w:r w:rsidR="00604EE6" w:rsidRPr="00604EE6">
        <w:rPr>
          <w:rFonts w:cs="Arial"/>
          <w:i/>
        </w:rPr>
        <w:t>Mdr2</w:t>
      </w:r>
      <w:r w:rsidR="00604EE6" w:rsidRPr="00604EE6">
        <w:rPr>
          <w:rFonts w:cs="Arial"/>
          <w:i/>
          <w:vertAlign w:val="superscript"/>
        </w:rPr>
        <w:t>-/-</w:t>
      </w:r>
      <w:r w:rsidR="00604EE6">
        <w:rPr>
          <w:rFonts w:cs="Arial"/>
        </w:rPr>
        <w:t xml:space="preserve"> mice display well-differentiated hepatocellular tumors with focal atypia and small group necrosis. (H) Histological scoring of </w:t>
      </w:r>
      <w:r w:rsidR="00604EE6" w:rsidRPr="00604EE6">
        <w:rPr>
          <w:rFonts w:cs="Arial"/>
          <w:i/>
        </w:rPr>
        <w:t>Mdr2</w:t>
      </w:r>
      <w:r w:rsidR="00604EE6" w:rsidRPr="00604EE6">
        <w:rPr>
          <w:rFonts w:cs="Arial"/>
          <w:i/>
          <w:vertAlign w:val="superscript"/>
        </w:rPr>
        <w:t>-/-</w:t>
      </w:r>
      <w:r w:rsidR="00604EE6">
        <w:rPr>
          <w:rFonts w:cs="Arial"/>
        </w:rPr>
        <w:t xml:space="preserve"> livers.</w:t>
      </w:r>
      <w:r w:rsidR="00AD205B">
        <w:rPr>
          <w:rFonts w:cs="Arial"/>
        </w:rPr>
        <w:t xml:space="preserve"> (I) Data table of histological scoring. </w:t>
      </w:r>
      <w:r w:rsidR="00604EE6">
        <w:rPr>
          <w:rFonts w:cs="Arial"/>
        </w:rPr>
        <w:t xml:space="preserve"> </w:t>
      </w:r>
      <w:r w:rsidRPr="00F4402C">
        <w:rPr>
          <w:rFonts w:cs="Arial"/>
        </w:rPr>
        <w:t xml:space="preserve">Data are expressed as the </w:t>
      </w:r>
      <w:r w:rsidR="00EC53DB">
        <w:rPr>
          <w:rFonts w:cs="Arial"/>
        </w:rPr>
        <w:t>mean ± SD from 12 to 15</w:t>
      </w:r>
      <w:r w:rsidRPr="00F4402C">
        <w:rPr>
          <w:rFonts w:cs="Arial"/>
        </w:rPr>
        <w:t xml:space="preserve"> mice per group and considered significant if ** </w:t>
      </w:r>
      <w:r w:rsidRPr="00F4402C">
        <w:rPr>
          <w:rFonts w:cs="Arial"/>
          <w:i/>
          <w:iCs/>
        </w:rPr>
        <w:t>p</w:t>
      </w:r>
      <w:r w:rsidRPr="00F4402C">
        <w:rPr>
          <w:rFonts w:cs="Arial"/>
        </w:rPr>
        <w:t xml:space="preserve">&lt;0.01, *** </w:t>
      </w:r>
      <w:r w:rsidRPr="00F4402C">
        <w:rPr>
          <w:rFonts w:cs="Arial"/>
          <w:i/>
          <w:iCs/>
        </w:rPr>
        <w:t>p</w:t>
      </w:r>
      <w:r w:rsidRPr="00F4402C">
        <w:rPr>
          <w:rFonts w:cs="Arial"/>
        </w:rPr>
        <w:t xml:space="preserve">&lt;0.001. </w:t>
      </w:r>
    </w:p>
    <w:p w14:paraId="542352A5" w14:textId="1D3F77EA" w:rsidR="00CC7D0A" w:rsidRDefault="005A5591" w:rsidP="00CC7D0A">
      <w:pPr>
        <w:jc w:val="both"/>
        <w:rPr>
          <w:rFonts w:cs="Arial"/>
        </w:rPr>
      </w:pPr>
      <w:r w:rsidRPr="00F4402C">
        <w:rPr>
          <w:rFonts w:cs="Arial"/>
          <w:b/>
          <w:bCs/>
        </w:rPr>
        <w:t>Figure S</w:t>
      </w:r>
      <w:r w:rsidRPr="00F4402C">
        <w:rPr>
          <w:rFonts w:cs="Arial"/>
          <w:b/>
          <w:bCs/>
          <w:lang w:val="en-GB"/>
        </w:rPr>
        <w:t>2</w:t>
      </w:r>
      <w:r w:rsidR="0015260C">
        <w:rPr>
          <w:rFonts w:cs="Arial"/>
          <w:b/>
          <w:bCs/>
          <w:lang w:val="en-GB"/>
        </w:rPr>
        <w:t xml:space="preserve"> </w:t>
      </w:r>
      <w:proofErr w:type="gramStart"/>
      <w:r w:rsidR="005F4288" w:rsidRPr="00401226">
        <w:rPr>
          <w:rFonts w:cs="Arial"/>
          <w:bCs/>
          <w:lang w:val="en-GB"/>
        </w:rPr>
        <w:t>An</w:t>
      </w:r>
      <w:proofErr w:type="gramEnd"/>
      <w:r w:rsidR="005F4288" w:rsidRPr="00401226">
        <w:rPr>
          <w:rFonts w:cs="Arial"/>
          <w:bCs/>
          <w:lang w:val="en-GB"/>
        </w:rPr>
        <w:t xml:space="preserve"> increased inflammatory response is f</w:t>
      </w:r>
      <w:r w:rsidRPr="00401226">
        <w:rPr>
          <w:rFonts w:cs="Arial"/>
          <w:bCs/>
          <w:lang w:val="en-GB"/>
        </w:rPr>
        <w:t xml:space="preserve">ound in </w:t>
      </w:r>
      <w:r w:rsidRPr="00497F24">
        <w:rPr>
          <w:rFonts w:cs="Arial"/>
          <w:bCs/>
          <w:i/>
          <w:lang w:val="en-GB"/>
        </w:rPr>
        <w:t>Mdr2</w:t>
      </w:r>
      <w:r w:rsidRPr="00497F24">
        <w:rPr>
          <w:rFonts w:cs="Arial"/>
          <w:i/>
          <w:vertAlign w:val="superscript"/>
          <w:lang w:val="en-GB"/>
        </w:rPr>
        <w:t>-/-</w:t>
      </w:r>
      <w:r w:rsidR="005F4288" w:rsidRPr="00401226">
        <w:rPr>
          <w:rFonts w:cs="Arial"/>
          <w:bCs/>
          <w:lang w:val="en-GB"/>
        </w:rPr>
        <w:t xml:space="preserve"> l</w:t>
      </w:r>
      <w:r w:rsidRPr="00401226">
        <w:rPr>
          <w:rFonts w:cs="Arial"/>
          <w:bCs/>
          <w:lang w:val="en-GB"/>
        </w:rPr>
        <w:t>ivers.</w:t>
      </w:r>
      <w:r w:rsidR="00AD205B">
        <w:rPr>
          <w:rFonts w:cs="Arial"/>
        </w:rPr>
        <w:t xml:space="preserve"> (A) Immunohistochemical staining against KI67 in livers of </w:t>
      </w:r>
      <w:proofErr w:type="gramStart"/>
      <w:r w:rsidR="00AD205B">
        <w:rPr>
          <w:rFonts w:cs="Arial"/>
        </w:rPr>
        <w:t>52 week-old</w:t>
      </w:r>
      <w:proofErr w:type="gramEnd"/>
      <w:r w:rsidR="00AD205B">
        <w:rPr>
          <w:rFonts w:cs="Arial"/>
        </w:rPr>
        <w:t xml:space="preserve"> </w:t>
      </w:r>
      <w:r w:rsidR="00AD205B" w:rsidRPr="00497F24">
        <w:rPr>
          <w:rFonts w:cs="Arial"/>
          <w:bCs/>
          <w:i/>
          <w:lang w:val="en-GB"/>
        </w:rPr>
        <w:t>Mdr2</w:t>
      </w:r>
      <w:r w:rsidR="00AD205B" w:rsidRPr="00497F24">
        <w:rPr>
          <w:rFonts w:cs="Arial"/>
          <w:i/>
          <w:vertAlign w:val="superscript"/>
          <w:lang w:val="en-GB"/>
        </w:rPr>
        <w:t>-/-</w:t>
      </w:r>
      <w:r w:rsidR="00AD205B">
        <w:rPr>
          <w:rFonts w:cs="Arial"/>
          <w:i/>
          <w:vertAlign w:val="superscript"/>
          <w:lang w:val="en-GB"/>
        </w:rPr>
        <w:t xml:space="preserve"> </w:t>
      </w:r>
      <w:r w:rsidR="00AD205B">
        <w:rPr>
          <w:rFonts w:cs="Arial"/>
        </w:rPr>
        <w:t>and WT mice. (B</w:t>
      </w:r>
      <w:r w:rsidRPr="00F4402C">
        <w:rPr>
          <w:rFonts w:cs="Arial"/>
        </w:rPr>
        <w:t>) CD45 immunohistochemical staining</w:t>
      </w:r>
      <w:r w:rsidR="004F7BCF">
        <w:rPr>
          <w:rFonts w:cs="Arial"/>
        </w:rPr>
        <w:t xml:space="preserve"> and quantification</w:t>
      </w:r>
      <w:r w:rsidRPr="00F4402C">
        <w:rPr>
          <w:rFonts w:cs="Arial"/>
        </w:rPr>
        <w:t xml:space="preserve"> in livers of </w:t>
      </w:r>
      <w:r w:rsidRPr="00497F24">
        <w:rPr>
          <w:rFonts w:cs="Arial"/>
          <w:i/>
        </w:rPr>
        <w:t>Mdr2</w:t>
      </w:r>
      <w:r w:rsidRPr="00497F24">
        <w:rPr>
          <w:rFonts w:cs="Arial"/>
          <w:i/>
          <w:vertAlign w:val="superscript"/>
        </w:rPr>
        <w:t>-/-</w:t>
      </w:r>
      <w:r w:rsidRPr="00F4402C">
        <w:rPr>
          <w:rFonts w:cs="Arial"/>
        </w:rPr>
        <w:t xml:space="preserve"> and WT mice at </w:t>
      </w:r>
      <w:proofErr w:type="gramStart"/>
      <w:r w:rsidRPr="00F4402C">
        <w:rPr>
          <w:rFonts w:cs="Arial"/>
        </w:rPr>
        <w:t>8 and 52 weeks</w:t>
      </w:r>
      <w:proofErr w:type="gramEnd"/>
      <w:r w:rsidRPr="00F4402C">
        <w:rPr>
          <w:rFonts w:cs="Arial"/>
        </w:rPr>
        <w:t xml:space="preserve"> age</w:t>
      </w:r>
      <w:r w:rsidR="00AD205B">
        <w:rPr>
          <w:rFonts w:cs="Arial"/>
        </w:rPr>
        <w:t xml:space="preserve">. </w:t>
      </w:r>
      <w:r w:rsidRPr="00F4402C">
        <w:rPr>
          <w:rFonts w:cs="Arial"/>
        </w:rPr>
        <w:t xml:space="preserve"> (C) Liver mRNA expression of MCP1 as determined by </w:t>
      </w:r>
      <w:proofErr w:type="spellStart"/>
      <w:r w:rsidRPr="00F4402C">
        <w:rPr>
          <w:rFonts w:cs="Arial"/>
        </w:rPr>
        <w:t>qRT</w:t>
      </w:r>
      <w:proofErr w:type="spellEnd"/>
      <w:r w:rsidRPr="00F4402C">
        <w:rPr>
          <w:rFonts w:cs="Arial"/>
        </w:rPr>
        <w:t xml:space="preserve">-PCR from </w:t>
      </w:r>
      <w:r w:rsidRPr="00497F24">
        <w:rPr>
          <w:rFonts w:cs="Arial"/>
          <w:i/>
        </w:rPr>
        <w:t>Mdr2</w:t>
      </w:r>
      <w:r w:rsidRPr="00497F24">
        <w:rPr>
          <w:rFonts w:cs="Arial"/>
          <w:i/>
          <w:vertAlign w:val="superscript"/>
        </w:rPr>
        <w:t>-/-</w:t>
      </w:r>
      <w:r w:rsidRPr="00F4402C">
        <w:rPr>
          <w:rFonts w:cs="Arial"/>
        </w:rPr>
        <w:t xml:space="preserve"> and WT mice at 8 and 52 weeks of age. (D) FACS analysis of monocyte-derived macrophages</w:t>
      </w:r>
      <w:r w:rsidRPr="00F4402C">
        <w:rPr>
          <w:rFonts w:cs="Arial"/>
          <w:bCs/>
        </w:rPr>
        <w:t xml:space="preserve"> </w:t>
      </w:r>
      <w:r w:rsidRPr="00F4402C">
        <w:rPr>
          <w:rFonts w:cs="Arial"/>
        </w:rPr>
        <w:t>(defined as F4/80</w:t>
      </w:r>
      <w:r w:rsidRPr="00F4402C">
        <w:rPr>
          <w:rFonts w:cs="Arial"/>
          <w:vertAlign w:val="superscript"/>
        </w:rPr>
        <w:t>low</w:t>
      </w:r>
      <w:r w:rsidRPr="00F4402C">
        <w:rPr>
          <w:rFonts w:cs="Arial"/>
        </w:rPr>
        <w:t xml:space="preserve"> CD11b</w:t>
      </w:r>
      <w:r w:rsidRPr="00F4402C">
        <w:rPr>
          <w:rFonts w:cs="Arial"/>
          <w:vertAlign w:val="superscript"/>
        </w:rPr>
        <w:t>hi</w:t>
      </w:r>
      <w:r w:rsidRPr="00F4402C">
        <w:rPr>
          <w:rFonts w:cs="Arial"/>
          <w:lang w:val="en-GB"/>
        </w:rPr>
        <w:t xml:space="preserve">) </w:t>
      </w:r>
      <w:r w:rsidRPr="00F4402C">
        <w:rPr>
          <w:rFonts w:cs="Arial"/>
        </w:rPr>
        <w:t xml:space="preserve">in </w:t>
      </w:r>
      <w:proofErr w:type="gramStart"/>
      <w:r w:rsidRPr="00F4402C">
        <w:rPr>
          <w:rFonts w:cs="Arial"/>
        </w:rPr>
        <w:t>8 week-old</w:t>
      </w:r>
      <w:proofErr w:type="gramEnd"/>
      <w:r w:rsidRPr="00F4402C">
        <w:rPr>
          <w:rFonts w:cs="Arial"/>
        </w:rPr>
        <w:t xml:space="preserve"> WT and </w:t>
      </w:r>
      <w:r w:rsidRPr="00497F24">
        <w:rPr>
          <w:rFonts w:cs="Arial"/>
          <w:i/>
        </w:rPr>
        <w:t>Mdr2</w:t>
      </w:r>
      <w:r w:rsidRPr="00497F24">
        <w:rPr>
          <w:rFonts w:cs="Arial"/>
          <w:i/>
          <w:vertAlign w:val="superscript"/>
        </w:rPr>
        <w:t>-/-</w:t>
      </w:r>
      <w:r w:rsidRPr="00F4402C">
        <w:rPr>
          <w:rFonts w:cs="Arial"/>
        </w:rPr>
        <w:t xml:space="preserve"> livers. (E) F4/80 immunohistochemical staining in livers of </w:t>
      </w:r>
      <w:r w:rsidRPr="00497F24">
        <w:rPr>
          <w:rFonts w:cs="Arial"/>
          <w:i/>
        </w:rPr>
        <w:t>Mdr2</w:t>
      </w:r>
      <w:r w:rsidRPr="00497F24">
        <w:rPr>
          <w:rFonts w:cs="Arial"/>
          <w:i/>
          <w:vertAlign w:val="superscript"/>
        </w:rPr>
        <w:t>-/-</w:t>
      </w:r>
      <w:r w:rsidRPr="00F4402C">
        <w:rPr>
          <w:rFonts w:cs="Arial"/>
        </w:rPr>
        <w:t xml:space="preserve"> and WT mice at 8 and 52 weeks of age. (F) </w:t>
      </w:r>
      <w:bookmarkStart w:id="0" w:name="OLE_LINK1"/>
      <w:r w:rsidRPr="00F4402C">
        <w:rPr>
          <w:rFonts w:cs="Arial"/>
        </w:rPr>
        <w:t xml:space="preserve">mRNA expression of CD68 and F4/80 as determined by </w:t>
      </w:r>
      <w:proofErr w:type="spellStart"/>
      <w:r w:rsidRPr="00F4402C">
        <w:rPr>
          <w:rFonts w:cs="Arial"/>
        </w:rPr>
        <w:t>qRT</w:t>
      </w:r>
      <w:proofErr w:type="spellEnd"/>
      <w:r w:rsidRPr="00F4402C">
        <w:rPr>
          <w:rFonts w:cs="Arial"/>
        </w:rPr>
        <w:t xml:space="preserve">-PCR in </w:t>
      </w:r>
      <w:proofErr w:type="gramStart"/>
      <w:r w:rsidRPr="00F4402C">
        <w:rPr>
          <w:rFonts w:cs="Arial"/>
        </w:rPr>
        <w:t>8 week-old</w:t>
      </w:r>
      <w:proofErr w:type="gramEnd"/>
      <w:r w:rsidRPr="00F4402C">
        <w:rPr>
          <w:rFonts w:cs="Arial"/>
        </w:rPr>
        <w:t xml:space="preserve"> WT and </w:t>
      </w:r>
      <w:r w:rsidRPr="00497F24">
        <w:rPr>
          <w:rFonts w:cs="Arial"/>
          <w:i/>
        </w:rPr>
        <w:t>Mdr2</w:t>
      </w:r>
      <w:r w:rsidRPr="00497F24">
        <w:rPr>
          <w:rFonts w:cs="Arial"/>
          <w:i/>
          <w:vertAlign w:val="superscript"/>
        </w:rPr>
        <w:t>-/-</w:t>
      </w:r>
      <w:r w:rsidRPr="00F4402C">
        <w:rPr>
          <w:rFonts w:cs="Arial"/>
        </w:rPr>
        <w:t xml:space="preserve"> livers. </w:t>
      </w:r>
      <w:bookmarkEnd w:id="0"/>
      <w:r w:rsidRPr="00F4402C">
        <w:rPr>
          <w:rFonts w:cs="Arial"/>
        </w:rPr>
        <w:t xml:space="preserve">Data are expressed as the </w:t>
      </w:r>
      <w:r w:rsidR="00EC53DB">
        <w:rPr>
          <w:rFonts w:cs="Arial"/>
        </w:rPr>
        <w:t>mean ± SD</w:t>
      </w:r>
      <w:r w:rsidRPr="00F4402C">
        <w:rPr>
          <w:rFonts w:cs="Arial"/>
        </w:rPr>
        <w:t xml:space="preserve"> from 6 to 8 mice per group and considered significant if * </w:t>
      </w:r>
      <w:r w:rsidRPr="00F4402C">
        <w:rPr>
          <w:rFonts w:cs="Arial"/>
          <w:i/>
          <w:iCs/>
        </w:rPr>
        <w:t>p</w:t>
      </w:r>
      <w:r w:rsidRPr="00F4402C">
        <w:rPr>
          <w:rFonts w:cs="Arial"/>
        </w:rPr>
        <w:t xml:space="preserve">&lt;0.05, ** </w:t>
      </w:r>
      <w:r w:rsidRPr="00F4402C">
        <w:rPr>
          <w:rFonts w:cs="Arial"/>
          <w:i/>
          <w:iCs/>
        </w:rPr>
        <w:t>p</w:t>
      </w:r>
      <w:r w:rsidRPr="00F4402C">
        <w:rPr>
          <w:rFonts w:cs="Arial"/>
        </w:rPr>
        <w:t xml:space="preserve">&lt;0.01, *** </w:t>
      </w:r>
      <w:r w:rsidRPr="00F4402C">
        <w:rPr>
          <w:rFonts w:cs="Arial"/>
          <w:i/>
          <w:iCs/>
        </w:rPr>
        <w:t>p</w:t>
      </w:r>
      <w:r w:rsidRPr="00F4402C">
        <w:rPr>
          <w:rFonts w:cs="Arial"/>
        </w:rPr>
        <w:t>&lt;0.001.</w:t>
      </w:r>
    </w:p>
    <w:p w14:paraId="08B632B7" w14:textId="6F7CD46A" w:rsidR="005A5591" w:rsidRPr="004F7BCF" w:rsidRDefault="005A5591" w:rsidP="005953A5">
      <w:pPr>
        <w:jc w:val="both"/>
        <w:rPr>
          <w:rFonts w:cs="Arial"/>
        </w:rPr>
      </w:pPr>
      <w:r w:rsidRPr="00F4402C">
        <w:rPr>
          <w:rFonts w:cs="Arial"/>
          <w:b/>
          <w:bCs/>
        </w:rPr>
        <w:t>Figure S</w:t>
      </w:r>
      <w:proofErr w:type="gramStart"/>
      <w:r w:rsidRPr="00F4402C">
        <w:rPr>
          <w:rFonts w:cs="Arial"/>
          <w:b/>
          <w:bCs/>
          <w:lang w:val="en-GB"/>
        </w:rPr>
        <w:t>3</w:t>
      </w:r>
      <w:r w:rsidR="0015260C">
        <w:rPr>
          <w:rFonts w:cs="Arial"/>
          <w:b/>
          <w:bCs/>
          <w:lang w:val="en-GB"/>
        </w:rPr>
        <w:t xml:space="preserve">  </w:t>
      </w:r>
      <w:r w:rsidR="00C1029E" w:rsidRPr="00401226">
        <w:rPr>
          <w:rFonts w:cs="Arial"/>
          <w:bCs/>
        </w:rPr>
        <w:t>Apoptotic</w:t>
      </w:r>
      <w:proofErr w:type="gramEnd"/>
      <w:r w:rsidR="00C1029E" w:rsidRPr="00401226">
        <w:rPr>
          <w:rFonts w:cs="Arial"/>
          <w:bCs/>
        </w:rPr>
        <w:t xml:space="preserve"> cell death is a</w:t>
      </w:r>
      <w:r w:rsidRPr="00401226">
        <w:rPr>
          <w:rFonts w:cs="Arial"/>
          <w:bCs/>
        </w:rPr>
        <w:t xml:space="preserve">ctivated in </w:t>
      </w:r>
      <w:r w:rsidRPr="00497F24">
        <w:rPr>
          <w:rFonts w:cs="Arial"/>
          <w:i/>
        </w:rPr>
        <w:t>Mdr2</w:t>
      </w:r>
      <w:r w:rsidRPr="00497F24">
        <w:rPr>
          <w:rFonts w:cs="Arial"/>
          <w:i/>
          <w:vertAlign w:val="superscript"/>
        </w:rPr>
        <w:t>-/-</w:t>
      </w:r>
      <w:r w:rsidR="00C1029E" w:rsidRPr="00401226">
        <w:rPr>
          <w:rFonts w:cs="Arial"/>
        </w:rPr>
        <w:t xml:space="preserve"> l</w:t>
      </w:r>
      <w:r w:rsidRPr="00401226">
        <w:rPr>
          <w:rFonts w:cs="Arial"/>
        </w:rPr>
        <w:t>ivers</w:t>
      </w:r>
      <w:r w:rsidR="00C1029E" w:rsidRPr="00401226">
        <w:rPr>
          <w:rFonts w:cs="Arial"/>
          <w:bCs/>
        </w:rPr>
        <w:t>, but caspase-8 in liver parenchymal cells has no s</w:t>
      </w:r>
      <w:r w:rsidRPr="00401226">
        <w:rPr>
          <w:rFonts w:cs="Arial"/>
          <w:bCs/>
        </w:rPr>
        <w:t xml:space="preserve">ignificant </w:t>
      </w:r>
      <w:r w:rsidR="00C1029E" w:rsidRPr="00401226">
        <w:rPr>
          <w:rFonts w:cs="Arial"/>
          <w:bCs/>
        </w:rPr>
        <w:t>impact on disease p</w:t>
      </w:r>
      <w:r w:rsidRPr="00401226">
        <w:rPr>
          <w:rFonts w:cs="Arial"/>
          <w:bCs/>
        </w:rPr>
        <w:t>rogression.</w:t>
      </w:r>
      <w:r w:rsidR="00C1029E">
        <w:rPr>
          <w:rFonts w:cs="Arial"/>
          <w:b/>
          <w:bCs/>
        </w:rPr>
        <w:t xml:space="preserve"> </w:t>
      </w:r>
      <w:r w:rsidRPr="00497F24">
        <w:rPr>
          <w:rFonts w:cs="Arial"/>
          <w:i/>
        </w:rPr>
        <w:t>Mdr2</w:t>
      </w:r>
      <w:r w:rsidRPr="00497F24">
        <w:rPr>
          <w:rFonts w:cs="Arial"/>
          <w:i/>
          <w:vertAlign w:val="superscript"/>
        </w:rPr>
        <w:t>-/-</w:t>
      </w:r>
      <w:r w:rsidRPr="00F4402C">
        <w:rPr>
          <w:rFonts w:cs="Arial"/>
          <w:vertAlign w:val="superscript"/>
        </w:rPr>
        <w:t xml:space="preserve"> </w:t>
      </w:r>
      <w:r w:rsidRPr="00F4402C">
        <w:rPr>
          <w:rFonts w:cs="Arial"/>
        </w:rPr>
        <w:t xml:space="preserve">and WT livers of </w:t>
      </w:r>
      <w:proofErr w:type="gramStart"/>
      <w:r w:rsidRPr="00F4402C">
        <w:rPr>
          <w:rFonts w:cs="Arial"/>
        </w:rPr>
        <w:t>8 and 52 week-old</w:t>
      </w:r>
      <w:proofErr w:type="gramEnd"/>
      <w:r w:rsidRPr="00F4402C">
        <w:rPr>
          <w:rFonts w:cs="Arial"/>
        </w:rPr>
        <w:t xml:space="preserve"> mice were included in this analysis. (A) Caspase-3 and caspase-8 enzyme activities were analyzed. (B) </w:t>
      </w:r>
      <w:r w:rsidR="00AD205B">
        <w:rPr>
          <w:rFonts w:cs="Arial"/>
        </w:rPr>
        <w:t xml:space="preserve">Expression </w:t>
      </w:r>
      <w:r w:rsidR="004F7BCF">
        <w:rPr>
          <w:rFonts w:cs="Arial"/>
        </w:rPr>
        <w:t xml:space="preserve">of </w:t>
      </w:r>
      <w:r w:rsidR="00E60841">
        <w:rPr>
          <w:rFonts w:cs="Arial"/>
        </w:rPr>
        <w:t>c</w:t>
      </w:r>
      <w:r w:rsidRPr="00F4402C">
        <w:rPr>
          <w:rFonts w:cs="Arial"/>
        </w:rPr>
        <w:t xml:space="preserve">leaved caspase-9 </w:t>
      </w:r>
      <w:r w:rsidR="002F3E42">
        <w:rPr>
          <w:rFonts w:cs="Arial"/>
        </w:rPr>
        <w:t xml:space="preserve">protein </w:t>
      </w:r>
      <w:r w:rsidRPr="00F4402C">
        <w:rPr>
          <w:rFonts w:cs="Arial"/>
        </w:rPr>
        <w:t>was determined by western blot analysis. GAPDH</w:t>
      </w:r>
      <w:r w:rsidR="004F7BCF">
        <w:rPr>
          <w:rFonts w:cs="Arial"/>
        </w:rPr>
        <w:t xml:space="preserve"> was used as loading control. </w:t>
      </w:r>
      <w:r w:rsidR="004F7BCF">
        <w:rPr>
          <w:rFonts w:cs="Arial" w:hint="eastAsia"/>
        </w:rPr>
        <w:t>(</w:t>
      </w:r>
      <w:r w:rsidR="004F7BCF">
        <w:rPr>
          <w:rFonts w:cs="Arial"/>
        </w:rPr>
        <w:t>C</w:t>
      </w:r>
      <w:r w:rsidR="004F7BCF">
        <w:rPr>
          <w:rFonts w:cs="Arial" w:hint="eastAsia"/>
        </w:rPr>
        <w:t>)</w:t>
      </w:r>
      <w:r w:rsidR="004F7BCF">
        <w:rPr>
          <w:rFonts w:cs="Arial"/>
        </w:rPr>
        <w:t xml:space="preserve"> Quantification of </w:t>
      </w:r>
      <w:r w:rsidR="00CC7D0A">
        <w:rPr>
          <w:rFonts w:cs="Arial"/>
        </w:rPr>
        <w:t>RIP</w:t>
      </w:r>
      <w:r w:rsidR="00F57302">
        <w:rPr>
          <w:rFonts w:cs="Arial"/>
        </w:rPr>
        <w:t>1</w:t>
      </w:r>
      <w:r w:rsidR="004F7BCF" w:rsidRPr="00F4402C">
        <w:rPr>
          <w:rFonts w:cs="Arial"/>
        </w:rPr>
        <w:t xml:space="preserve"> </w:t>
      </w:r>
      <w:r w:rsidR="00CC7D0A">
        <w:rPr>
          <w:rFonts w:cs="Arial"/>
        </w:rPr>
        <w:t>and RIP3 western blot bands</w:t>
      </w:r>
      <w:r w:rsidR="004F7BCF" w:rsidRPr="00F4402C">
        <w:rPr>
          <w:rFonts w:cs="Arial"/>
        </w:rPr>
        <w:t>.</w:t>
      </w:r>
      <w:r w:rsidR="004F7BCF">
        <w:rPr>
          <w:rFonts w:cs="Arial"/>
        </w:rPr>
        <w:t xml:space="preserve"> (D</w:t>
      </w:r>
      <w:r w:rsidRPr="00F4402C">
        <w:rPr>
          <w:rFonts w:cs="Arial"/>
        </w:rPr>
        <w:t xml:space="preserve">) Bcl2 and </w:t>
      </w:r>
      <w:proofErr w:type="spellStart"/>
      <w:r w:rsidRPr="00F4402C">
        <w:rPr>
          <w:rFonts w:cs="Arial"/>
        </w:rPr>
        <w:t>Bax</w:t>
      </w:r>
      <w:proofErr w:type="spellEnd"/>
      <w:r w:rsidRPr="00F4402C">
        <w:rPr>
          <w:rFonts w:cs="Arial"/>
        </w:rPr>
        <w:t xml:space="preserve"> mRNA expression </w:t>
      </w:r>
      <w:r w:rsidRPr="00F4402C">
        <w:rPr>
          <w:rFonts w:cs="Arial"/>
        </w:rPr>
        <w:lastRenderedPageBreak/>
        <w:t xml:space="preserve">were determined by </w:t>
      </w:r>
      <w:proofErr w:type="spellStart"/>
      <w:r w:rsidRPr="00F4402C">
        <w:rPr>
          <w:rFonts w:cs="Arial"/>
        </w:rPr>
        <w:t>qRT</w:t>
      </w:r>
      <w:proofErr w:type="spellEnd"/>
      <w:r w:rsidRPr="00F4402C">
        <w:rPr>
          <w:rFonts w:cs="Arial"/>
        </w:rPr>
        <w:t xml:space="preserve">-PCR. Data are expressed as the </w:t>
      </w:r>
      <w:r w:rsidR="00EC53DB">
        <w:rPr>
          <w:rFonts w:cs="Arial"/>
        </w:rPr>
        <w:t>mean ± SD</w:t>
      </w:r>
      <w:r w:rsidRPr="00F4402C">
        <w:rPr>
          <w:rFonts w:cs="Arial"/>
        </w:rPr>
        <w:t xml:space="preserve"> from 6 to 8 mice per group and considered significant if ** </w:t>
      </w:r>
      <w:r w:rsidRPr="00F4402C">
        <w:rPr>
          <w:rFonts w:cs="Arial"/>
          <w:i/>
          <w:iCs/>
        </w:rPr>
        <w:t>p</w:t>
      </w:r>
      <w:r w:rsidRPr="00F4402C">
        <w:rPr>
          <w:rFonts w:cs="Arial"/>
        </w:rPr>
        <w:t xml:space="preserve">&lt;0.01, *** </w:t>
      </w:r>
      <w:r w:rsidRPr="00F4402C">
        <w:rPr>
          <w:rFonts w:cs="Arial"/>
          <w:i/>
          <w:iCs/>
        </w:rPr>
        <w:t>p</w:t>
      </w:r>
      <w:r w:rsidRPr="00F4402C">
        <w:rPr>
          <w:rFonts w:cs="Arial"/>
        </w:rPr>
        <w:t xml:space="preserve">&lt;0.001. </w:t>
      </w:r>
    </w:p>
    <w:p w14:paraId="6A2BB05D" w14:textId="214F9DAB" w:rsidR="005A5591" w:rsidRPr="00915A66" w:rsidRDefault="005A5591" w:rsidP="005953A5">
      <w:pPr>
        <w:jc w:val="both"/>
        <w:rPr>
          <w:rFonts w:eastAsiaTheme="minorEastAsia" w:cs="Arial"/>
          <w:lang w:eastAsia="zh-CN"/>
        </w:rPr>
      </w:pPr>
      <w:r w:rsidRPr="00F57220">
        <w:rPr>
          <w:rFonts w:cs="Arial"/>
          <w:b/>
          <w:bCs/>
        </w:rPr>
        <w:t>Figure S</w:t>
      </w:r>
      <w:r w:rsidRPr="00F57220">
        <w:rPr>
          <w:rFonts w:cs="Arial"/>
          <w:b/>
          <w:bCs/>
          <w:lang w:val="en-GB"/>
        </w:rPr>
        <w:t>4</w:t>
      </w:r>
      <w:r w:rsidR="00DE5443" w:rsidRPr="00401226">
        <w:rPr>
          <w:rFonts w:cs="Arial"/>
          <w:bCs/>
          <w:lang w:val="en-GB"/>
        </w:rPr>
        <w:t xml:space="preserve"> </w:t>
      </w:r>
      <w:r w:rsidR="00C1029E" w:rsidRPr="00401226">
        <w:rPr>
          <w:rFonts w:cs="Arial"/>
          <w:bCs/>
        </w:rPr>
        <w:t>Caspase-8 in liver p</w:t>
      </w:r>
      <w:r w:rsidRPr="00401226">
        <w:rPr>
          <w:rFonts w:cs="Arial"/>
          <w:bCs/>
        </w:rPr>
        <w:t xml:space="preserve">arenchymal </w:t>
      </w:r>
      <w:r w:rsidR="00C1029E" w:rsidRPr="00401226">
        <w:rPr>
          <w:rFonts w:cs="Arial"/>
          <w:bCs/>
        </w:rPr>
        <w:t>cells has no significant impact on disease p</w:t>
      </w:r>
      <w:r w:rsidRPr="00401226">
        <w:rPr>
          <w:rFonts w:cs="Arial"/>
          <w:bCs/>
        </w:rPr>
        <w:t>rogression.</w:t>
      </w:r>
      <w:r w:rsidRPr="00F4402C">
        <w:rPr>
          <w:rFonts w:cs="Arial"/>
        </w:rPr>
        <w:t xml:space="preserve"> (A) Liver weight </w:t>
      </w:r>
      <w:r w:rsidRPr="00F4402C">
        <w:rPr>
          <w:rFonts w:cs="Arial"/>
          <w:i/>
          <w:iCs/>
        </w:rPr>
        <w:t>versus</w:t>
      </w:r>
      <w:r w:rsidRPr="00F4402C">
        <w:rPr>
          <w:rFonts w:cs="Arial"/>
        </w:rPr>
        <w:t xml:space="preserve"> body weight ratios are shown of </w:t>
      </w:r>
      <w:proofErr w:type="gramStart"/>
      <w:r w:rsidRPr="00F4402C">
        <w:rPr>
          <w:rFonts w:cs="Arial"/>
        </w:rPr>
        <w:t>26 week-old</w:t>
      </w:r>
      <w:proofErr w:type="gramEnd"/>
      <w:r w:rsidRPr="00F4402C">
        <w:rPr>
          <w:rFonts w:cs="Arial"/>
        </w:rPr>
        <w:t xml:space="preserve"> </w:t>
      </w:r>
      <w:r w:rsidRPr="00497F24">
        <w:rPr>
          <w:rFonts w:cs="Arial"/>
          <w:i/>
        </w:rPr>
        <w:t>Mdr2</w:t>
      </w:r>
      <w:r w:rsidRPr="00497F24">
        <w:rPr>
          <w:rFonts w:cs="Arial"/>
          <w:i/>
          <w:vertAlign w:val="superscript"/>
        </w:rPr>
        <w:t>-/-</w:t>
      </w:r>
      <w:r w:rsidRPr="00F4402C">
        <w:rPr>
          <w:rFonts w:cs="Arial"/>
        </w:rPr>
        <w:t>/Casp8</w:t>
      </w:r>
      <w:r w:rsidRPr="00C1029E">
        <w:rPr>
          <w:rFonts w:ascii="Symbol" w:hAnsi="Symbol" w:cs="Arial"/>
          <w:vertAlign w:val="superscript"/>
        </w:rPr>
        <w:t></w:t>
      </w:r>
      <w:r w:rsidRPr="00F4402C">
        <w:rPr>
          <w:rFonts w:cs="Arial"/>
          <w:vertAlign w:val="superscript"/>
        </w:rPr>
        <w:t>hepa</w:t>
      </w:r>
      <w:r w:rsidRPr="00F4402C">
        <w:rPr>
          <w:rFonts w:cs="Arial"/>
        </w:rPr>
        <w:t xml:space="preserve"> and </w:t>
      </w:r>
      <w:r w:rsidRPr="00497F24">
        <w:rPr>
          <w:rFonts w:cs="Arial"/>
          <w:i/>
        </w:rPr>
        <w:t>Mdr2</w:t>
      </w:r>
      <w:r w:rsidRPr="00497F24">
        <w:rPr>
          <w:rFonts w:cs="Arial"/>
          <w:i/>
          <w:vertAlign w:val="superscript"/>
        </w:rPr>
        <w:t>-/-</w:t>
      </w:r>
      <w:r w:rsidRPr="00F4402C">
        <w:rPr>
          <w:rFonts w:cs="Arial"/>
        </w:rPr>
        <w:t>/Casp8</w:t>
      </w:r>
      <w:r w:rsidRPr="00F4402C">
        <w:rPr>
          <w:rFonts w:cs="Arial"/>
          <w:vertAlign w:val="superscript"/>
        </w:rPr>
        <w:t>f/f</w:t>
      </w:r>
      <w:r w:rsidRPr="00F4402C">
        <w:rPr>
          <w:rFonts w:cs="Arial"/>
        </w:rPr>
        <w:t xml:space="preserve"> mice. (B) Sirius red staining of </w:t>
      </w:r>
      <w:proofErr w:type="gramStart"/>
      <w:r w:rsidRPr="00F4402C">
        <w:rPr>
          <w:rFonts w:cs="Arial"/>
        </w:rPr>
        <w:t>26 week-old</w:t>
      </w:r>
      <w:proofErr w:type="gramEnd"/>
      <w:r w:rsidRPr="00F4402C">
        <w:rPr>
          <w:rFonts w:cs="Arial"/>
        </w:rPr>
        <w:t xml:space="preserve"> </w:t>
      </w:r>
      <w:r w:rsidRPr="00497F24">
        <w:rPr>
          <w:rFonts w:cs="Arial"/>
          <w:i/>
        </w:rPr>
        <w:t>Mdr2</w:t>
      </w:r>
      <w:r w:rsidRPr="00497F24">
        <w:rPr>
          <w:rFonts w:cs="Arial"/>
          <w:i/>
          <w:vertAlign w:val="superscript"/>
        </w:rPr>
        <w:t>-/-</w:t>
      </w:r>
      <w:r w:rsidRPr="00F4402C">
        <w:rPr>
          <w:rFonts w:cs="Arial"/>
        </w:rPr>
        <w:t>/Casp8</w:t>
      </w:r>
      <w:r w:rsidRPr="00C1029E">
        <w:rPr>
          <w:rFonts w:ascii="Symbol" w:hAnsi="Symbol" w:cs="Arial"/>
          <w:vertAlign w:val="superscript"/>
        </w:rPr>
        <w:t></w:t>
      </w:r>
      <w:r w:rsidRPr="00F4402C">
        <w:rPr>
          <w:rFonts w:cs="Arial"/>
          <w:vertAlign w:val="superscript"/>
        </w:rPr>
        <w:t>hepa</w:t>
      </w:r>
      <w:r w:rsidRPr="00F4402C">
        <w:rPr>
          <w:rFonts w:cs="Arial"/>
        </w:rPr>
        <w:t xml:space="preserve"> and </w:t>
      </w:r>
      <w:r w:rsidRPr="00497F24">
        <w:rPr>
          <w:rFonts w:cs="Arial"/>
          <w:i/>
        </w:rPr>
        <w:t>Mdr2</w:t>
      </w:r>
      <w:r w:rsidRPr="00497F24">
        <w:rPr>
          <w:rFonts w:cs="Arial"/>
          <w:i/>
          <w:vertAlign w:val="superscript"/>
        </w:rPr>
        <w:t>-/-</w:t>
      </w:r>
      <w:r w:rsidRPr="00F4402C">
        <w:rPr>
          <w:rFonts w:cs="Arial"/>
        </w:rPr>
        <w:t>/Casp8</w:t>
      </w:r>
      <w:r w:rsidRPr="00F4402C">
        <w:rPr>
          <w:rFonts w:cs="Arial"/>
          <w:vertAlign w:val="superscript"/>
        </w:rPr>
        <w:t>f/f</w:t>
      </w:r>
      <w:r w:rsidRPr="00F4402C">
        <w:rPr>
          <w:rFonts w:cs="Arial"/>
        </w:rPr>
        <w:t xml:space="preserve"> livers was performed and representative images of liver paraffin sections are shown (left panel). Quantification represents positive staining as percentage of area fraction using ImageJ© software (right panel). Each dot represents the value of one independent view field. </w:t>
      </w:r>
      <w:r w:rsidR="00143AF4">
        <w:rPr>
          <w:rFonts w:cs="Arial"/>
        </w:rPr>
        <w:t xml:space="preserve">(C) </w:t>
      </w:r>
      <w:r w:rsidR="00143AF4" w:rsidRPr="00D74A77">
        <w:rPr>
          <w:rFonts w:cs="Arial"/>
          <w:u w:val="single"/>
        </w:rPr>
        <w:t>NLRP3, IL-1</w:t>
      </w:r>
      <w:r w:rsidR="00143AF4" w:rsidRPr="00D74A77">
        <w:rPr>
          <w:rFonts w:eastAsia="SimSun" w:cs="Arial"/>
          <w:u w:val="single"/>
          <w:lang w:eastAsia="zh-CN"/>
        </w:rPr>
        <w:t>β score and MELD score plotted against the grade of fibrosis</w:t>
      </w:r>
      <w:r w:rsidR="004052DF" w:rsidRPr="00D74A77">
        <w:rPr>
          <w:rFonts w:eastAsia="SimSun" w:cs="Arial"/>
          <w:u w:val="single"/>
          <w:lang w:eastAsia="zh-CN"/>
        </w:rPr>
        <w:t xml:space="preserve"> observed in PSC patients (n=8)</w:t>
      </w:r>
      <w:r w:rsidR="00143AF4" w:rsidRPr="00143AF4">
        <w:rPr>
          <w:rFonts w:cs="Arial"/>
        </w:rPr>
        <w:t xml:space="preserve"> </w:t>
      </w:r>
      <w:r w:rsidR="001D03F3">
        <w:rPr>
          <w:rFonts w:cs="Arial"/>
        </w:rPr>
        <w:t>(</w:t>
      </w:r>
      <w:r w:rsidR="00143AF4">
        <w:rPr>
          <w:rFonts w:cs="Arial"/>
        </w:rPr>
        <w:t>D</w:t>
      </w:r>
      <w:r w:rsidR="001D03F3" w:rsidRPr="00F4402C">
        <w:rPr>
          <w:rFonts w:cs="Arial"/>
        </w:rPr>
        <w:t>)</w:t>
      </w:r>
      <w:r w:rsidR="004E2E07">
        <w:rPr>
          <w:rFonts w:cs="Arial"/>
        </w:rPr>
        <w:t xml:space="preserve"> </w:t>
      </w:r>
      <w:r w:rsidR="001D03F3">
        <w:rPr>
          <w:rFonts w:cs="Arial"/>
        </w:rPr>
        <w:t xml:space="preserve">Quantification </w:t>
      </w:r>
      <w:r w:rsidR="00347E02">
        <w:rPr>
          <w:rFonts w:cs="Arial"/>
        </w:rPr>
        <w:t xml:space="preserve">of </w:t>
      </w:r>
      <w:r w:rsidR="00C56364">
        <w:rPr>
          <w:rFonts w:cs="Arial"/>
        </w:rPr>
        <w:t xml:space="preserve">pro-IL-1β, </w:t>
      </w:r>
      <w:r w:rsidR="001D03F3" w:rsidRPr="00CF69AF">
        <w:rPr>
          <w:rFonts w:cs="Arial"/>
        </w:rPr>
        <w:t>IL-1β</w:t>
      </w:r>
      <w:r w:rsidR="00C56364">
        <w:rPr>
          <w:rFonts w:cs="Arial"/>
        </w:rPr>
        <w:t xml:space="preserve"> and NLRP3</w:t>
      </w:r>
      <w:r w:rsidR="001D03F3">
        <w:rPr>
          <w:rFonts w:cs="Arial"/>
        </w:rPr>
        <w:t xml:space="preserve"> western blot bands</w:t>
      </w:r>
      <w:r w:rsidR="006D7F0B">
        <w:rPr>
          <w:rFonts w:cs="Arial"/>
        </w:rPr>
        <w:t xml:space="preserve"> performed in</w:t>
      </w:r>
      <w:r w:rsidR="0046410B">
        <w:rPr>
          <w:rFonts w:cs="Arial"/>
        </w:rPr>
        <w:t xml:space="preserve"> liver tissue</w:t>
      </w:r>
      <w:r w:rsidR="001D03F3" w:rsidRPr="00F4402C">
        <w:rPr>
          <w:rFonts w:cs="Arial"/>
        </w:rPr>
        <w:t>.</w:t>
      </w:r>
      <w:r w:rsidR="001D03F3">
        <w:rPr>
          <w:rFonts w:cs="Arial"/>
        </w:rPr>
        <w:t xml:space="preserve"> (</w:t>
      </w:r>
      <w:r w:rsidR="00143AF4">
        <w:rPr>
          <w:rFonts w:cs="Arial"/>
        </w:rPr>
        <w:t>E</w:t>
      </w:r>
      <w:r w:rsidR="001D03F3">
        <w:rPr>
          <w:rFonts w:cs="Arial"/>
        </w:rPr>
        <w:t>)</w:t>
      </w:r>
      <w:r w:rsidR="00C56364">
        <w:rPr>
          <w:rFonts w:cs="Arial"/>
        </w:rPr>
        <w:t xml:space="preserve"> Microbiota composition (family</w:t>
      </w:r>
      <w:r w:rsidR="00E60841">
        <w:rPr>
          <w:rFonts w:cs="Arial"/>
        </w:rPr>
        <w:t xml:space="preserve"> level) of </w:t>
      </w:r>
      <w:r w:rsidR="00E60841" w:rsidRPr="00497F24">
        <w:rPr>
          <w:rFonts w:cs="Arial"/>
          <w:i/>
        </w:rPr>
        <w:t>Mdr2</w:t>
      </w:r>
      <w:r w:rsidR="00E60841" w:rsidRPr="00497F24">
        <w:rPr>
          <w:rFonts w:cs="Arial"/>
          <w:i/>
          <w:vertAlign w:val="superscript"/>
        </w:rPr>
        <w:t>-/-</w:t>
      </w:r>
      <w:r w:rsidR="00E60841">
        <w:rPr>
          <w:rFonts w:cs="Arial"/>
        </w:rPr>
        <w:t xml:space="preserve"> and WT mice</w:t>
      </w:r>
      <w:r w:rsidR="0001004D">
        <w:rPr>
          <w:rFonts w:cs="Arial"/>
        </w:rPr>
        <w:t xml:space="preserve">. </w:t>
      </w:r>
      <w:r w:rsidR="0001004D" w:rsidRPr="0001004D">
        <w:rPr>
          <w:rFonts w:cs="Arial"/>
          <w:u w:val="single"/>
        </w:rPr>
        <w:t>Every bar represents the c</w:t>
      </w:r>
      <w:r w:rsidR="00186E45">
        <w:rPr>
          <w:rFonts w:cs="Arial"/>
          <w:u w:val="single"/>
        </w:rPr>
        <w:t>ommunity structure (</w:t>
      </w:r>
      <w:proofErr w:type="spellStart"/>
      <w:r w:rsidR="00186E45">
        <w:rPr>
          <w:rFonts w:cs="Arial"/>
          <w:u w:val="single"/>
        </w:rPr>
        <w:t>caecal</w:t>
      </w:r>
      <w:proofErr w:type="spellEnd"/>
      <w:r w:rsidR="00186E45">
        <w:rPr>
          <w:rFonts w:cs="Arial"/>
          <w:u w:val="single"/>
        </w:rPr>
        <w:t xml:space="preserve"> content</w:t>
      </w:r>
      <w:r w:rsidR="0001004D" w:rsidRPr="0001004D">
        <w:rPr>
          <w:rFonts w:cs="Arial"/>
          <w:u w:val="single"/>
        </w:rPr>
        <w:t>) of one mouse.</w:t>
      </w:r>
      <w:r w:rsidR="00E60841" w:rsidRPr="0001004D">
        <w:rPr>
          <w:rFonts w:cs="Arial"/>
          <w:u w:val="single"/>
        </w:rPr>
        <w:t xml:space="preserve"> </w:t>
      </w:r>
      <w:r w:rsidR="001D03F3" w:rsidRPr="00E60841">
        <w:rPr>
          <w:rFonts w:cs="Arial"/>
        </w:rPr>
        <w:t>(</w:t>
      </w:r>
      <w:r w:rsidR="00143AF4">
        <w:rPr>
          <w:rFonts w:cs="Arial"/>
        </w:rPr>
        <w:t>F</w:t>
      </w:r>
      <w:r w:rsidR="001D03F3">
        <w:rPr>
          <w:rFonts w:cs="Arial"/>
        </w:rPr>
        <w:t xml:space="preserve">) Pearson </w:t>
      </w:r>
      <w:r w:rsidR="001D03F3">
        <w:rPr>
          <w:rFonts w:eastAsiaTheme="minorEastAsia" w:cs="Arial"/>
          <w:lang w:eastAsia="zh-CN"/>
        </w:rPr>
        <w:t>c</w:t>
      </w:r>
      <w:r w:rsidR="001D03F3">
        <w:rPr>
          <w:rFonts w:eastAsiaTheme="minorEastAsia" w:cs="Arial" w:hint="eastAsia"/>
          <w:lang w:eastAsia="zh-CN"/>
        </w:rPr>
        <w:t>orr</w:t>
      </w:r>
      <w:r w:rsidR="001D03F3">
        <w:rPr>
          <w:rFonts w:eastAsiaTheme="minorEastAsia" w:cs="Arial"/>
          <w:lang w:eastAsia="zh-CN"/>
        </w:rPr>
        <w:t xml:space="preserve">elation analysis </w:t>
      </w:r>
      <w:r w:rsidR="001D03F3" w:rsidRPr="001D03F3">
        <w:rPr>
          <w:rFonts w:eastAsiaTheme="minorEastAsia" w:cs="Arial"/>
          <w:bCs/>
          <w:lang w:eastAsia="zh-CN"/>
        </w:rPr>
        <w:t xml:space="preserve">between </w:t>
      </w:r>
      <w:proofErr w:type="spellStart"/>
      <w:r w:rsidR="001D03F3" w:rsidRPr="001D03F3">
        <w:rPr>
          <w:rFonts w:eastAsiaTheme="minorEastAsia" w:cs="Arial"/>
          <w:bCs/>
          <w:lang w:eastAsia="zh-CN"/>
        </w:rPr>
        <w:t>Lachnospiraceae</w:t>
      </w:r>
      <w:proofErr w:type="spellEnd"/>
      <w:r w:rsidR="001D03F3" w:rsidRPr="001D03F3">
        <w:rPr>
          <w:rFonts w:eastAsiaTheme="minorEastAsia" w:cs="Arial"/>
          <w:bCs/>
          <w:lang w:eastAsia="zh-CN"/>
        </w:rPr>
        <w:t xml:space="preserve"> OTU_69 abund</w:t>
      </w:r>
      <w:r w:rsidR="00915A66">
        <w:rPr>
          <w:rFonts w:eastAsiaTheme="minorEastAsia" w:cs="Arial"/>
          <w:bCs/>
          <w:lang w:eastAsia="zh-CN"/>
        </w:rPr>
        <w:t>ance and serum ALT levels</w:t>
      </w:r>
      <w:r w:rsidR="00C56364">
        <w:rPr>
          <w:rFonts w:eastAsiaTheme="minorEastAsia" w:cs="Arial"/>
          <w:bCs/>
          <w:lang w:eastAsia="zh-CN"/>
        </w:rPr>
        <w:t xml:space="preserve"> in </w:t>
      </w:r>
      <w:r w:rsidR="00C56364" w:rsidRPr="00C56364">
        <w:rPr>
          <w:rFonts w:eastAsiaTheme="minorEastAsia" w:cs="Arial"/>
          <w:bCs/>
          <w:i/>
          <w:lang w:eastAsia="zh-CN"/>
        </w:rPr>
        <w:t>Mdr2</w:t>
      </w:r>
      <w:r w:rsidR="00C56364" w:rsidRPr="00C56364">
        <w:rPr>
          <w:rFonts w:eastAsiaTheme="minorEastAsia" w:cs="Arial"/>
          <w:bCs/>
          <w:i/>
          <w:vertAlign w:val="superscript"/>
          <w:lang w:eastAsia="zh-CN"/>
        </w:rPr>
        <w:t>-/-</w:t>
      </w:r>
      <w:r w:rsidR="00C56364">
        <w:rPr>
          <w:rFonts w:eastAsiaTheme="minorEastAsia" w:cs="Arial"/>
          <w:bCs/>
          <w:lang w:eastAsia="zh-CN"/>
        </w:rPr>
        <w:t xml:space="preserve"> mice</w:t>
      </w:r>
      <w:r w:rsidR="001D03F3">
        <w:rPr>
          <w:rFonts w:eastAsiaTheme="minorEastAsia" w:cs="Arial"/>
          <w:bCs/>
          <w:lang w:eastAsia="zh-CN"/>
        </w:rPr>
        <w:t>.</w:t>
      </w:r>
      <w:r w:rsidR="00B70F93">
        <w:rPr>
          <w:rFonts w:eastAsiaTheme="minorEastAsia" w:cs="Arial"/>
          <w:lang w:eastAsia="zh-CN"/>
        </w:rPr>
        <w:t xml:space="preserve"> </w:t>
      </w:r>
      <w:r w:rsidR="00B70F93" w:rsidRPr="00B70F93">
        <w:rPr>
          <w:rFonts w:eastAsiaTheme="minorEastAsia" w:cs="Arial"/>
          <w:u w:val="single"/>
          <w:lang w:eastAsia="zh-CN"/>
        </w:rPr>
        <w:t xml:space="preserve">(G) </w:t>
      </w:r>
      <w:r w:rsidR="00B70F93" w:rsidRPr="00B70F93">
        <w:rPr>
          <w:rFonts w:cs="Arial"/>
          <w:u w:val="single"/>
        </w:rPr>
        <w:t>NMDS-graph</w:t>
      </w:r>
      <w:r w:rsidR="00B70F93" w:rsidRPr="00B70F93">
        <w:rPr>
          <w:rFonts w:cs="Arial"/>
          <w:u w:val="single"/>
        </w:rPr>
        <w:t>s</w:t>
      </w:r>
      <w:r w:rsidR="00B70F93" w:rsidRPr="00B70F93">
        <w:rPr>
          <w:rFonts w:cs="Arial"/>
          <w:u w:val="single"/>
        </w:rPr>
        <w:t xml:space="preserve"> based on Bray-Curtis dissimilarity shows clear separation of </w:t>
      </w:r>
      <w:r w:rsidR="00B70F93" w:rsidRPr="00B70F93">
        <w:rPr>
          <w:rFonts w:cs="Arial"/>
          <w:i/>
          <w:u w:val="single"/>
        </w:rPr>
        <w:t>Mdr2</w:t>
      </w:r>
      <w:r w:rsidR="00B70F93" w:rsidRPr="00B70F93">
        <w:rPr>
          <w:rFonts w:cs="Arial"/>
          <w:i/>
          <w:u w:val="single"/>
          <w:vertAlign w:val="superscript"/>
        </w:rPr>
        <w:t>-/-</w:t>
      </w:r>
      <w:r w:rsidR="00B70F93" w:rsidRPr="00B70F93">
        <w:rPr>
          <w:rFonts w:cs="Arial"/>
          <w:u w:val="single"/>
        </w:rPr>
        <w:t xml:space="preserve"> and WT microbiota; </w:t>
      </w:r>
      <w:r w:rsidR="00B70F93">
        <w:rPr>
          <w:rFonts w:cs="Arial"/>
          <w:u w:val="single"/>
        </w:rPr>
        <w:t>Litters and Cages are shown in different colors</w:t>
      </w:r>
      <w:r w:rsidR="00B70F93" w:rsidRPr="00B70F93">
        <w:rPr>
          <w:rFonts w:cs="Arial"/>
          <w:u w:val="single"/>
        </w:rPr>
        <w:t xml:space="preserve">. (H) </w:t>
      </w:r>
      <w:r w:rsidR="00B70F93" w:rsidRPr="00B70F93">
        <w:rPr>
          <w:rFonts w:cs="Arial"/>
          <w:u w:val="single"/>
        </w:rPr>
        <w:t xml:space="preserve"> </w:t>
      </w:r>
      <w:proofErr w:type="spellStart"/>
      <w:r w:rsidR="00B70F93" w:rsidRPr="00B70F93">
        <w:rPr>
          <w:rFonts w:cs="Arial"/>
          <w:u w:val="single"/>
        </w:rPr>
        <w:t>PCoA</w:t>
      </w:r>
      <w:proofErr w:type="spellEnd"/>
      <w:r w:rsidR="00B70F93" w:rsidRPr="00B70F93">
        <w:rPr>
          <w:rFonts w:cs="Arial"/>
          <w:u w:val="single"/>
        </w:rPr>
        <w:t>-graph</w:t>
      </w:r>
      <w:r w:rsidR="00B70F93" w:rsidRPr="00B70F93">
        <w:rPr>
          <w:rFonts w:cs="Arial"/>
          <w:u w:val="single"/>
        </w:rPr>
        <w:t>s</w:t>
      </w:r>
      <w:r w:rsidR="00B70F93" w:rsidRPr="00B70F93">
        <w:rPr>
          <w:rFonts w:cs="Arial"/>
          <w:u w:val="single"/>
        </w:rPr>
        <w:t xml:space="preserve"> based on </w:t>
      </w:r>
      <w:proofErr w:type="spellStart"/>
      <w:r w:rsidR="00B70F93" w:rsidRPr="00B70F93">
        <w:rPr>
          <w:rFonts w:cs="Arial"/>
          <w:u w:val="single"/>
        </w:rPr>
        <w:t>UniFrac</w:t>
      </w:r>
      <w:proofErr w:type="spellEnd"/>
      <w:r w:rsidR="00B70F93" w:rsidRPr="00B70F93">
        <w:rPr>
          <w:rFonts w:cs="Arial"/>
          <w:u w:val="single"/>
        </w:rPr>
        <w:t xml:space="preserve"> distances</w:t>
      </w:r>
      <w:r w:rsidR="00B70F93" w:rsidRPr="00B70F93">
        <w:rPr>
          <w:rFonts w:cs="Arial"/>
          <w:u w:val="single"/>
        </w:rPr>
        <w:t xml:space="preserve"> of </w:t>
      </w:r>
      <w:r w:rsidR="00B70F93" w:rsidRPr="00B70F93">
        <w:rPr>
          <w:rFonts w:cs="Arial"/>
          <w:i/>
          <w:u w:val="single"/>
        </w:rPr>
        <w:t>Mdr2</w:t>
      </w:r>
      <w:r w:rsidR="00B70F93" w:rsidRPr="00B70F93">
        <w:rPr>
          <w:rFonts w:cs="Arial"/>
          <w:i/>
          <w:u w:val="single"/>
          <w:vertAlign w:val="superscript"/>
        </w:rPr>
        <w:t>-/-</w:t>
      </w:r>
      <w:r w:rsidR="00B70F93" w:rsidRPr="00B70F93">
        <w:rPr>
          <w:rFonts w:cs="Arial"/>
          <w:u w:val="single"/>
        </w:rPr>
        <w:t xml:space="preserve"> and WT </w:t>
      </w:r>
      <w:r w:rsidR="00B70F93" w:rsidRPr="00B70F93">
        <w:rPr>
          <w:rFonts w:cs="Arial"/>
          <w:u w:val="single"/>
        </w:rPr>
        <w:t>microbiota; Litter</w:t>
      </w:r>
      <w:r w:rsidR="00B70F93">
        <w:rPr>
          <w:rFonts w:cs="Arial"/>
          <w:u w:val="single"/>
        </w:rPr>
        <w:t>s</w:t>
      </w:r>
      <w:r w:rsidR="00B70F93" w:rsidRPr="00B70F93">
        <w:rPr>
          <w:rFonts w:cs="Arial"/>
          <w:u w:val="single"/>
        </w:rPr>
        <w:t xml:space="preserve"> and Cage</w:t>
      </w:r>
      <w:r w:rsidR="00B70F93">
        <w:rPr>
          <w:rFonts w:cs="Arial"/>
          <w:u w:val="single"/>
        </w:rPr>
        <w:t xml:space="preserve">s </w:t>
      </w:r>
      <w:r w:rsidR="00B70F93" w:rsidRPr="00B70F93">
        <w:rPr>
          <w:rFonts w:cs="Arial"/>
          <w:u w:val="single"/>
        </w:rPr>
        <w:t xml:space="preserve">are </w:t>
      </w:r>
      <w:r w:rsidR="00B70F93">
        <w:rPr>
          <w:rFonts w:cs="Arial"/>
          <w:u w:val="single"/>
        </w:rPr>
        <w:t>shown</w:t>
      </w:r>
      <w:r w:rsidR="00B70F93" w:rsidRPr="00B70F93">
        <w:rPr>
          <w:rFonts w:cs="Arial"/>
          <w:u w:val="single"/>
        </w:rPr>
        <w:t xml:space="preserve"> in </w:t>
      </w:r>
      <w:r w:rsidR="00B70F93">
        <w:rPr>
          <w:rFonts w:cs="Arial"/>
          <w:u w:val="single"/>
        </w:rPr>
        <w:t xml:space="preserve">different </w:t>
      </w:r>
      <w:r w:rsidR="00B70F93" w:rsidRPr="00B70F93">
        <w:rPr>
          <w:rFonts w:cs="Arial"/>
          <w:u w:val="single"/>
        </w:rPr>
        <w:t>color</w:t>
      </w:r>
      <w:r w:rsidR="00B70F93">
        <w:rPr>
          <w:rFonts w:cs="Arial"/>
          <w:u w:val="single"/>
        </w:rPr>
        <w:t>s</w:t>
      </w:r>
      <w:bookmarkStart w:id="1" w:name="_GoBack"/>
      <w:bookmarkEnd w:id="1"/>
      <w:r w:rsidR="00B70F93" w:rsidRPr="00B70F93">
        <w:rPr>
          <w:rFonts w:cs="Arial"/>
          <w:u w:val="single"/>
        </w:rPr>
        <w:t>.</w:t>
      </w:r>
      <w:r w:rsidR="00B70F93" w:rsidRPr="00383E5D">
        <w:rPr>
          <w:rFonts w:cs="Arial"/>
        </w:rPr>
        <w:t xml:space="preserve">  </w:t>
      </w:r>
      <w:r w:rsidRPr="00F4402C">
        <w:rPr>
          <w:rFonts w:cs="Arial"/>
        </w:rPr>
        <w:t xml:space="preserve">Data are expressed as the mean ± SD from 5 to 12 mice per group and considered significant if ** </w:t>
      </w:r>
      <w:r w:rsidRPr="00F4402C">
        <w:rPr>
          <w:rFonts w:cs="Arial"/>
          <w:i/>
          <w:iCs/>
        </w:rPr>
        <w:t>p</w:t>
      </w:r>
      <w:r w:rsidRPr="00F4402C">
        <w:rPr>
          <w:rFonts w:cs="Arial"/>
        </w:rPr>
        <w:t xml:space="preserve">&lt;0.01, *** </w:t>
      </w:r>
      <w:r w:rsidRPr="00F4402C">
        <w:rPr>
          <w:rFonts w:cs="Arial"/>
          <w:i/>
          <w:iCs/>
        </w:rPr>
        <w:t>p</w:t>
      </w:r>
      <w:r w:rsidRPr="00F4402C">
        <w:rPr>
          <w:rFonts w:cs="Arial"/>
        </w:rPr>
        <w:t xml:space="preserve">&lt;0.001. </w:t>
      </w:r>
    </w:p>
    <w:p w14:paraId="17AD7654" w14:textId="44BBA82F" w:rsidR="008E2740" w:rsidRDefault="005A5591" w:rsidP="005953A5">
      <w:pPr>
        <w:jc w:val="both"/>
        <w:rPr>
          <w:rFonts w:cs="Arial"/>
        </w:rPr>
      </w:pPr>
      <w:r w:rsidRPr="00F4402C">
        <w:rPr>
          <w:rFonts w:cs="Arial"/>
          <w:b/>
          <w:bCs/>
        </w:rPr>
        <w:t>Figure S</w:t>
      </w:r>
      <w:proofErr w:type="gramStart"/>
      <w:r w:rsidR="004E2E07">
        <w:rPr>
          <w:rFonts w:cs="Arial"/>
          <w:b/>
          <w:bCs/>
          <w:lang w:val="en-GB"/>
        </w:rPr>
        <w:t>5</w:t>
      </w:r>
      <w:r w:rsidR="00DE5443">
        <w:rPr>
          <w:rFonts w:cs="Arial"/>
          <w:b/>
          <w:bCs/>
          <w:lang w:val="en-GB"/>
        </w:rPr>
        <w:t xml:space="preserve">  </w:t>
      </w:r>
      <w:r w:rsidRPr="00497F24">
        <w:rPr>
          <w:rFonts w:cs="Arial"/>
          <w:bCs/>
          <w:i/>
        </w:rPr>
        <w:t>Mdr</w:t>
      </w:r>
      <w:proofErr w:type="gramEnd"/>
      <w:r w:rsidRPr="00497F24">
        <w:rPr>
          <w:rFonts w:cs="Arial"/>
          <w:bCs/>
          <w:i/>
        </w:rPr>
        <w:t>2</w:t>
      </w:r>
      <w:r w:rsidRPr="00497F24">
        <w:rPr>
          <w:rFonts w:cs="Arial"/>
          <w:bCs/>
          <w:i/>
          <w:vertAlign w:val="superscript"/>
        </w:rPr>
        <w:t>-/-</w:t>
      </w:r>
      <w:r w:rsidR="00C1029E" w:rsidRPr="00401226">
        <w:rPr>
          <w:rFonts w:cs="Arial"/>
          <w:bCs/>
        </w:rPr>
        <w:t xml:space="preserve"> intestines d</w:t>
      </w:r>
      <w:r w:rsidRPr="00401226">
        <w:rPr>
          <w:rFonts w:cs="Arial"/>
          <w:bCs/>
        </w:rPr>
        <w:t>isplay</w:t>
      </w:r>
      <w:r w:rsidR="00C56364">
        <w:rPr>
          <w:rFonts w:cs="Arial"/>
          <w:bCs/>
          <w:lang w:val="en-GB"/>
        </w:rPr>
        <w:t xml:space="preserve"> intestinal barrier impairment</w:t>
      </w:r>
      <w:r w:rsidRPr="00401226">
        <w:rPr>
          <w:rFonts w:cs="Arial"/>
          <w:bCs/>
        </w:rPr>
        <w:t>.</w:t>
      </w:r>
      <w:r w:rsidRPr="00F4402C">
        <w:rPr>
          <w:rFonts w:cs="Arial"/>
          <w:b/>
          <w:bCs/>
        </w:rPr>
        <w:t xml:space="preserve"> </w:t>
      </w:r>
      <w:r w:rsidRPr="00F4402C">
        <w:rPr>
          <w:rFonts w:cs="Arial"/>
        </w:rPr>
        <w:t xml:space="preserve">Colon and ileum samples of </w:t>
      </w:r>
      <w:r w:rsidRPr="00497F24">
        <w:rPr>
          <w:rFonts w:cs="Arial"/>
          <w:i/>
        </w:rPr>
        <w:t>Mdr2</w:t>
      </w:r>
      <w:r w:rsidRPr="00497F24">
        <w:rPr>
          <w:rFonts w:cs="Arial"/>
          <w:i/>
          <w:vertAlign w:val="superscript"/>
        </w:rPr>
        <w:t>-/-</w:t>
      </w:r>
      <w:r w:rsidRPr="00F4402C">
        <w:rPr>
          <w:rFonts w:cs="Arial"/>
        </w:rPr>
        <w:t xml:space="preserve"> and WT mice at 8 and 52 weeks of age were included in this analysis.</w:t>
      </w:r>
      <w:r w:rsidRPr="00F4402C">
        <w:rPr>
          <w:rFonts w:cs="Arial"/>
          <w:b/>
          <w:bCs/>
        </w:rPr>
        <w:t xml:space="preserve"> </w:t>
      </w:r>
      <w:r w:rsidR="004E2E07">
        <w:rPr>
          <w:rFonts w:cs="Arial"/>
        </w:rPr>
        <w:t>(A)</w:t>
      </w:r>
      <w:r w:rsidRPr="00F4402C">
        <w:rPr>
          <w:rFonts w:cs="Arial"/>
          <w:bCs/>
        </w:rPr>
        <w:t xml:space="preserve"> </w:t>
      </w:r>
      <w:r w:rsidR="00915A66">
        <w:rPr>
          <w:rFonts w:cs="Arial"/>
        </w:rPr>
        <w:t xml:space="preserve">Representative </w:t>
      </w:r>
      <w:r w:rsidR="00915A66" w:rsidRPr="00E73670">
        <w:rPr>
          <w:rFonts w:eastAsia="SimSun" w:cs="Arial"/>
          <w:lang w:eastAsia="zh-CN"/>
        </w:rPr>
        <w:t xml:space="preserve">H&amp;E </w:t>
      </w:r>
      <w:proofErr w:type="spellStart"/>
      <w:r w:rsidR="00915A66" w:rsidRPr="00E73670">
        <w:rPr>
          <w:rFonts w:cs="Arial"/>
          <w:bCs/>
        </w:rPr>
        <w:t>stainings</w:t>
      </w:r>
      <w:proofErr w:type="spellEnd"/>
      <w:r w:rsidR="00915A66">
        <w:rPr>
          <w:rFonts w:cs="Arial"/>
          <w:bCs/>
        </w:rPr>
        <w:t xml:space="preserve"> of paraffin colon and </w:t>
      </w:r>
      <w:r w:rsidR="00C56364">
        <w:rPr>
          <w:rFonts w:cs="Arial"/>
          <w:bCs/>
        </w:rPr>
        <w:t xml:space="preserve">(B) </w:t>
      </w:r>
      <w:r w:rsidR="00915A66">
        <w:rPr>
          <w:rFonts w:cs="Arial"/>
          <w:bCs/>
        </w:rPr>
        <w:t>ileum</w:t>
      </w:r>
      <w:r w:rsidR="00C56364">
        <w:rPr>
          <w:rFonts w:cs="Arial"/>
          <w:bCs/>
        </w:rPr>
        <w:t xml:space="preserve"> tissue</w:t>
      </w:r>
      <w:r w:rsidR="00915A66">
        <w:rPr>
          <w:rFonts w:cs="Arial"/>
          <w:bCs/>
        </w:rPr>
        <w:t xml:space="preserve"> sections. </w:t>
      </w:r>
      <w:r w:rsidR="00C56364">
        <w:rPr>
          <w:rFonts w:cs="Arial"/>
        </w:rPr>
        <w:t>(C</w:t>
      </w:r>
      <w:r w:rsidR="004E2E07" w:rsidRPr="00F4402C">
        <w:rPr>
          <w:rFonts w:cs="Arial"/>
        </w:rPr>
        <w:t>)</w:t>
      </w:r>
      <w:r w:rsidR="004E2E07">
        <w:rPr>
          <w:rFonts w:cs="Arial"/>
        </w:rPr>
        <w:t xml:space="preserve"> Quantification of ZO-1 western blot bands were performed on colon</w:t>
      </w:r>
      <w:r w:rsidR="00C56364">
        <w:rPr>
          <w:rFonts w:cs="Arial"/>
        </w:rPr>
        <w:t xml:space="preserve"> (left panel)</w:t>
      </w:r>
      <w:r w:rsidR="004E2E07">
        <w:rPr>
          <w:rFonts w:cs="Arial"/>
        </w:rPr>
        <w:t xml:space="preserve"> and ileum</w:t>
      </w:r>
      <w:r w:rsidR="00C56364">
        <w:rPr>
          <w:rFonts w:cs="Arial"/>
        </w:rPr>
        <w:t xml:space="preserve"> (right panel)</w:t>
      </w:r>
      <w:r w:rsidR="004E2E07">
        <w:rPr>
          <w:rFonts w:cs="Arial"/>
        </w:rPr>
        <w:t xml:space="preserve"> tissue</w:t>
      </w:r>
      <w:r w:rsidR="004E2E07">
        <w:rPr>
          <w:rFonts w:asciiTheme="minorEastAsia" w:eastAsiaTheme="minorEastAsia" w:hAnsiTheme="minorEastAsia" w:cs="Arial"/>
          <w:lang w:eastAsia="zh-CN"/>
        </w:rPr>
        <w:t xml:space="preserve">. </w:t>
      </w:r>
      <w:r w:rsidR="00C56364">
        <w:rPr>
          <w:rFonts w:cs="Arial"/>
          <w:bCs/>
        </w:rPr>
        <w:t>(D</w:t>
      </w:r>
      <w:r w:rsidR="004E2E07">
        <w:rPr>
          <w:rFonts w:cs="Arial"/>
          <w:bCs/>
        </w:rPr>
        <w:t>)</w:t>
      </w:r>
      <w:r w:rsidR="00C56364">
        <w:rPr>
          <w:rFonts w:cs="Arial"/>
          <w:bCs/>
        </w:rPr>
        <w:t xml:space="preserve"> Thickness of the mucus layer measured by histological analyses after mucin-2 immunofluorescence staining</w:t>
      </w:r>
      <w:r w:rsidR="008E2740">
        <w:rPr>
          <w:rFonts w:cs="Arial"/>
          <w:bCs/>
        </w:rPr>
        <w:t xml:space="preserve"> using </w:t>
      </w:r>
      <w:proofErr w:type="spellStart"/>
      <w:r w:rsidR="008E2740">
        <w:rPr>
          <w:rFonts w:cs="Arial"/>
          <w:bCs/>
        </w:rPr>
        <w:t>AxioVision</w:t>
      </w:r>
      <w:proofErr w:type="spellEnd"/>
      <w:r w:rsidR="008E2740">
        <w:rPr>
          <w:rFonts w:cs="Arial"/>
          <w:bCs/>
        </w:rPr>
        <w:t>® software</w:t>
      </w:r>
      <w:r w:rsidR="00C56364">
        <w:rPr>
          <w:rFonts w:cs="Arial"/>
          <w:bCs/>
        </w:rPr>
        <w:t xml:space="preserve">. </w:t>
      </w:r>
      <w:r w:rsidRPr="00F4402C">
        <w:rPr>
          <w:rFonts w:cs="Arial"/>
        </w:rPr>
        <w:t xml:space="preserve">Data are expressed as the </w:t>
      </w:r>
      <w:r w:rsidR="00EC53DB">
        <w:rPr>
          <w:rFonts w:cs="Arial"/>
        </w:rPr>
        <w:t>mean ± SD</w:t>
      </w:r>
      <w:r w:rsidRPr="00F4402C">
        <w:rPr>
          <w:rFonts w:cs="Arial"/>
        </w:rPr>
        <w:t xml:space="preserve"> from 6 to 8 mice per group and considered significant if * </w:t>
      </w:r>
      <w:r w:rsidRPr="00F4402C">
        <w:rPr>
          <w:rFonts w:cs="Arial"/>
          <w:i/>
          <w:iCs/>
        </w:rPr>
        <w:t>p</w:t>
      </w:r>
      <w:r w:rsidRPr="00F4402C">
        <w:rPr>
          <w:rFonts w:cs="Arial"/>
        </w:rPr>
        <w:t xml:space="preserve">&lt;0.05, ** </w:t>
      </w:r>
      <w:r w:rsidRPr="00F4402C">
        <w:rPr>
          <w:rFonts w:cs="Arial"/>
          <w:i/>
          <w:iCs/>
        </w:rPr>
        <w:t>p</w:t>
      </w:r>
      <w:r w:rsidRPr="00F4402C">
        <w:rPr>
          <w:rFonts w:cs="Arial"/>
        </w:rPr>
        <w:t>&lt;0.01.</w:t>
      </w:r>
    </w:p>
    <w:p w14:paraId="334CEBCB" w14:textId="115B5E4F" w:rsidR="008E2740" w:rsidRDefault="008E2740" w:rsidP="008E2740">
      <w:pPr>
        <w:jc w:val="both"/>
        <w:rPr>
          <w:rFonts w:cs="Arial"/>
        </w:rPr>
      </w:pPr>
      <w:r w:rsidRPr="00F4402C">
        <w:rPr>
          <w:rFonts w:cs="Arial"/>
          <w:b/>
          <w:bCs/>
        </w:rPr>
        <w:t>Figure S</w:t>
      </w:r>
      <w:proofErr w:type="gramStart"/>
      <w:r>
        <w:rPr>
          <w:rFonts w:cs="Arial"/>
          <w:b/>
          <w:bCs/>
          <w:lang w:val="en-GB"/>
        </w:rPr>
        <w:t xml:space="preserve">6  </w:t>
      </w:r>
      <w:r w:rsidRPr="00497F24">
        <w:rPr>
          <w:rFonts w:cs="Arial"/>
          <w:bCs/>
          <w:i/>
        </w:rPr>
        <w:t>Mdr</w:t>
      </w:r>
      <w:proofErr w:type="gramEnd"/>
      <w:r w:rsidRPr="00497F24">
        <w:rPr>
          <w:rFonts w:cs="Arial"/>
          <w:bCs/>
          <w:i/>
        </w:rPr>
        <w:t>2</w:t>
      </w:r>
      <w:r w:rsidRPr="00497F24">
        <w:rPr>
          <w:rFonts w:cs="Arial"/>
          <w:bCs/>
          <w:i/>
          <w:vertAlign w:val="superscript"/>
        </w:rPr>
        <w:t>-/-</w:t>
      </w:r>
      <w:r w:rsidRPr="00401226">
        <w:rPr>
          <w:rFonts w:cs="Arial"/>
          <w:bCs/>
        </w:rPr>
        <w:t xml:space="preserve"> intestines display</w:t>
      </w:r>
      <w:r>
        <w:rPr>
          <w:rFonts w:cs="Arial"/>
          <w:bCs/>
          <w:lang w:val="en-GB"/>
        </w:rPr>
        <w:t xml:space="preserve"> intestinal inflammation</w:t>
      </w:r>
      <w:r w:rsidRPr="00401226">
        <w:rPr>
          <w:rFonts w:cs="Arial"/>
          <w:bCs/>
        </w:rPr>
        <w:t>.</w:t>
      </w:r>
      <w:r w:rsidRPr="00F4402C">
        <w:rPr>
          <w:rFonts w:cs="Arial"/>
          <w:b/>
          <w:bCs/>
        </w:rPr>
        <w:t xml:space="preserve"> </w:t>
      </w:r>
      <w:r w:rsidRPr="00F4402C">
        <w:rPr>
          <w:rFonts w:cs="Arial"/>
        </w:rPr>
        <w:t xml:space="preserve">Colon and ileum samples of </w:t>
      </w:r>
      <w:r w:rsidRPr="00497F24">
        <w:rPr>
          <w:rFonts w:cs="Arial"/>
          <w:i/>
        </w:rPr>
        <w:t>Mdr2</w:t>
      </w:r>
      <w:r w:rsidRPr="00497F24">
        <w:rPr>
          <w:rFonts w:cs="Arial"/>
          <w:i/>
          <w:vertAlign w:val="superscript"/>
        </w:rPr>
        <w:t>-/-</w:t>
      </w:r>
      <w:r w:rsidRPr="00F4402C">
        <w:rPr>
          <w:rFonts w:cs="Arial"/>
        </w:rPr>
        <w:t xml:space="preserve"> and WT mice at 8 and 52 weeks of age were included in this analysis.</w:t>
      </w:r>
      <w:r w:rsidRPr="00F4402C">
        <w:rPr>
          <w:rFonts w:cs="Arial"/>
          <w:b/>
          <w:bCs/>
        </w:rPr>
        <w:t xml:space="preserve"> </w:t>
      </w:r>
      <w:r>
        <w:rPr>
          <w:rFonts w:cs="Arial"/>
        </w:rPr>
        <w:t>(A)</w:t>
      </w:r>
      <w:r w:rsidRPr="00F4402C">
        <w:rPr>
          <w:rFonts w:cs="Arial"/>
          <w:bCs/>
        </w:rPr>
        <w:t xml:space="preserve"> </w:t>
      </w:r>
      <w:r w:rsidR="006D7F0B">
        <w:rPr>
          <w:rFonts w:cs="Arial"/>
          <w:bCs/>
        </w:rPr>
        <w:lastRenderedPageBreak/>
        <w:t xml:space="preserve">Representative </w:t>
      </w:r>
      <w:r w:rsidR="006D7F0B">
        <w:rPr>
          <w:rFonts w:cs="Arial"/>
        </w:rPr>
        <w:t>CD45, (B) CD11b and</w:t>
      </w:r>
      <w:r w:rsidR="006D7F0B" w:rsidRPr="00F4402C">
        <w:rPr>
          <w:rFonts w:cs="Arial"/>
        </w:rPr>
        <w:t xml:space="preserve"> </w:t>
      </w:r>
      <w:r w:rsidR="006D7F0B">
        <w:rPr>
          <w:rFonts w:cs="Arial"/>
        </w:rPr>
        <w:t xml:space="preserve">(C) </w:t>
      </w:r>
      <w:r w:rsidR="006D7F0B" w:rsidRPr="00F4402C">
        <w:rPr>
          <w:rFonts w:cs="Arial"/>
        </w:rPr>
        <w:t xml:space="preserve">F4/80 immunohistochemical </w:t>
      </w:r>
      <w:proofErr w:type="spellStart"/>
      <w:r w:rsidR="006D7F0B" w:rsidRPr="00F4402C">
        <w:rPr>
          <w:rFonts w:cs="Arial"/>
        </w:rPr>
        <w:t>staining</w:t>
      </w:r>
      <w:r w:rsidR="006D7F0B">
        <w:rPr>
          <w:rFonts w:cs="Arial"/>
        </w:rPr>
        <w:t>s</w:t>
      </w:r>
      <w:proofErr w:type="spellEnd"/>
      <w:r w:rsidR="006D7F0B">
        <w:rPr>
          <w:rFonts w:cs="Arial"/>
        </w:rPr>
        <w:t xml:space="preserve"> on paraffin colon and ileum sections are shown</w:t>
      </w:r>
      <w:r w:rsidR="006D7F0B" w:rsidRPr="00F4402C">
        <w:rPr>
          <w:rFonts w:cs="Arial"/>
        </w:rPr>
        <w:t>.</w:t>
      </w:r>
      <w:r w:rsidR="006D7F0B">
        <w:rPr>
          <w:rFonts w:cs="Arial"/>
        </w:rPr>
        <w:t xml:space="preserve"> (D) F4/80 and (E) TNFα mRNA expression </w:t>
      </w:r>
      <w:r w:rsidR="006D552F">
        <w:rPr>
          <w:rFonts w:cs="Arial"/>
        </w:rPr>
        <w:t xml:space="preserve">were determined by </w:t>
      </w:r>
      <w:proofErr w:type="spellStart"/>
      <w:r w:rsidR="006D552F">
        <w:rPr>
          <w:rFonts w:cs="Arial"/>
        </w:rPr>
        <w:t>qPT</w:t>
      </w:r>
      <w:proofErr w:type="spellEnd"/>
      <w:r w:rsidR="006D552F">
        <w:rPr>
          <w:rFonts w:cs="Arial"/>
        </w:rPr>
        <w:t xml:space="preserve">-PCR </w:t>
      </w:r>
      <w:r w:rsidR="006D7F0B">
        <w:rPr>
          <w:rFonts w:cs="Arial"/>
        </w:rPr>
        <w:t xml:space="preserve">in Colon and Ileum of WT and </w:t>
      </w:r>
      <w:r w:rsidR="006D7F0B" w:rsidRPr="006D7F0B">
        <w:rPr>
          <w:rFonts w:cs="Arial"/>
          <w:i/>
        </w:rPr>
        <w:t>Mdr2</w:t>
      </w:r>
      <w:r w:rsidR="006D7F0B" w:rsidRPr="006D7F0B">
        <w:rPr>
          <w:rFonts w:cs="Arial"/>
          <w:i/>
          <w:vertAlign w:val="superscript"/>
        </w:rPr>
        <w:t>-/-</w:t>
      </w:r>
      <w:r w:rsidR="006D7F0B">
        <w:rPr>
          <w:rFonts w:cs="Arial"/>
        </w:rPr>
        <w:t xml:space="preserve"> mice. (F) Quantification of NLRP3, pro-IL-1β and </w:t>
      </w:r>
      <w:r w:rsidR="006D7F0B" w:rsidRPr="00CF69AF">
        <w:rPr>
          <w:rFonts w:cs="Arial"/>
        </w:rPr>
        <w:t>IL-1β</w:t>
      </w:r>
      <w:r w:rsidR="006D7F0B">
        <w:rPr>
          <w:rFonts w:cs="Arial"/>
        </w:rPr>
        <w:t xml:space="preserve"> western blot bands performed in colon tissue</w:t>
      </w:r>
      <w:r w:rsidR="006D7F0B" w:rsidRPr="00F4402C">
        <w:rPr>
          <w:rFonts w:cs="Arial"/>
        </w:rPr>
        <w:t>.</w:t>
      </w:r>
      <w:r w:rsidR="003E37A3">
        <w:rPr>
          <w:rFonts w:cs="Arial"/>
        </w:rPr>
        <w:t xml:space="preserve"> </w:t>
      </w:r>
      <w:r w:rsidRPr="00F4402C">
        <w:rPr>
          <w:rFonts w:cs="Arial"/>
        </w:rPr>
        <w:t xml:space="preserve">Data are expressed as the </w:t>
      </w:r>
      <w:r>
        <w:rPr>
          <w:rFonts w:cs="Arial"/>
        </w:rPr>
        <w:t>mean ± SD</w:t>
      </w:r>
      <w:r w:rsidR="006D552F">
        <w:rPr>
          <w:rFonts w:cs="Arial"/>
        </w:rPr>
        <w:t xml:space="preserve"> from 3</w:t>
      </w:r>
      <w:r w:rsidRPr="00F4402C">
        <w:rPr>
          <w:rFonts w:cs="Arial"/>
        </w:rPr>
        <w:t xml:space="preserve"> to 8 mice per group and considered significant if * </w:t>
      </w:r>
      <w:r w:rsidRPr="00F4402C">
        <w:rPr>
          <w:rFonts w:cs="Arial"/>
          <w:i/>
          <w:iCs/>
        </w:rPr>
        <w:t>p</w:t>
      </w:r>
      <w:r w:rsidRPr="00F4402C">
        <w:rPr>
          <w:rFonts w:cs="Arial"/>
        </w:rPr>
        <w:t xml:space="preserve">&lt;0.05, ** </w:t>
      </w:r>
      <w:r w:rsidRPr="00F4402C">
        <w:rPr>
          <w:rFonts w:cs="Arial"/>
          <w:i/>
          <w:iCs/>
        </w:rPr>
        <w:t>p</w:t>
      </w:r>
      <w:r w:rsidRPr="00F4402C">
        <w:rPr>
          <w:rFonts w:cs="Arial"/>
        </w:rPr>
        <w:t>&lt;0.01.</w:t>
      </w:r>
    </w:p>
    <w:p w14:paraId="6C93886E" w14:textId="72E5E7FC" w:rsidR="008E2740" w:rsidRDefault="008E2740" w:rsidP="005953A5">
      <w:pPr>
        <w:jc w:val="both"/>
        <w:rPr>
          <w:rFonts w:cs="Arial"/>
        </w:rPr>
      </w:pPr>
    </w:p>
    <w:p w14:paraId="28E772FB" w14:textId="2D98BF96" w:rsidR="00672671" w:rsidRDefault="005A5591" w:rsidP="00672671">
      <w:pPr>
        <w:jc w:val="both"/>
        <w:rPr>
          <w:rFonts w:cs="Arial"/>
        </w:rPr>
      </w:pPr>
      <w:r w:rsidRPr="00F4402C">
        <w:rPr>
          <w:rFonts w:cs="Arial"/>
          <w:b/>
          <w:bCs/>
        </w:rPr>
        <w:t>Figure S</w:t>
      </w:r>
      <w:proofErr w:type="gramStart"/>
      <w:r w:rsidR="003E37A3">
        <w:rPr>
          <w:rFonts w:cs="Arial"/>
          <w:b/>
          <w:bCs/>
          <w:lang w:val="en-GB"/>
        </w:rPr>
        <w:t>7</w:t>
      </w:r>
      <w:r w:rsidR="00763F89">
        <w:rPr>
          <w:rFonts w:cs="Arial"/>
          <w:b/>
          <w:bCs/>
        </w:rPr>
        <w:t xml:space="preserve"> </w:t>
      </w:r>
      <w:r w:rsidR="0015260C">
        <w:rPr>
          <w:rFonts w:cs="Arial"/>
          <w:b/>
          <w:bCs/>
        </w:rPr>
        <w:t xml:space="preserve"> </w:t>
      </w:r>
      <w:r w:rsidR="003E37A3">
        <w:rPr>
          <w:rFonts w:cs="Arial"/>
          <w:bCs/>
        </w:rPr>
        <w:t>FMT</w:t>
      </w:r>
      <w:proofErr w:type="gramEnd"/>
      <w:r w:rsidR="003E37A3">
        <w:rPr>
          <w:rFonts w:cs="Arial"/>
          <w:bCs/>
        </w:rPr>
        <w:t xml:space="preserve"> of </w:t>
      </w:r>
      <w:r w:rsidR="003E37A3" w:rsidRPr="003E37A3">
        <w:rPr>
          <w:rFonts w:cs="Arial"/>
          <w:bCs/>
          <w:i/>
        </w:rPr>
        <w:t>Mdr2</w:t>
      </w:r>
      <w:r w:rsidR="003E37A3" w:rsidRPr="003E37A3">
        <w:rPr>
          <w:rFonts w:cs="Arial"/>
          <w:bCs/>
          <w:i/>
          <w:vertAlign w:val="superscript"/>
        </w:rPr>
        <w:t>-/-</w:t>
      </w:r>
      <w:r w:rsidR="003E37A3">
        <w:rPr>
          <w:rFonts w:cs="Arial"/>
          <w:bCs/>
          <w:vertAlign w:val="superscript"/>
        </w:rPr>
        <w:t xml:space="preserve"> </w:t>
      </w:r>
      <w:r w:rsidR="003E37A3">
        <w:rPr>
          <w:rFonts w:cs="Arial"/>
          <w:bCs/>
        </w:rPr>
        <w:t>microbiota induces intestinal dysbiosis in recipient WT</w:t>
      </w:r>
      <w:r w:rsidR="003E37A3">
        <w:rPr>
          <w:rFonts w:cs="Arial"/>
          <w:bCs/>
          <w:vertAlign w:val="superscript"/>
        </w:rPr>
        <w:t>FMT(</w:t>
      </w:r>
      <w:r w:rsidR="003E37A3" w:rsidRPr="003E37A3">
        <w:rPr>
          <w:rFonts w:cs="Arial"/>
          <w:bCs/>
          <w:i/>
          <w:vertAlign w:val="superscript"/>
        </w:rPr>
        <w:t>Mdr2-/-</w:t>
      </w:r>
      <w:r w:rsidR="003E37A3">
        <w:rPr>
          <w:rFonts w:cs="Arial"/>
          <w:bCs/>
          <w:vertAlign w:val="superscript"/>
        </w:rPr>
        <w:t>)</w:t>
      </w:r>
      <w:r w:rsidR="003E37A3">
        <w:rPr>
          <w:rFonts w:cs="Arial"/>
          <w:bCs/>
        </w:rPr>
        <w:t xml:space="preserve"> mice</w:t>
      </w:r>
      <w:r w:rsidRPr="00401226">
        <w:rPr>
          <w:rFonts w:cs="Arial"/>
          <w:bCs/>
        </w:rPr>
        <w:t>.</w:t>
      </w:r>
      <w:r w:rsidR="00AC40CF">
        <w:rPr>
          <w:rFonts w:cs="Arial"/>
          <w:bCs/>
        </w:rPr>
        <w:t xml:space="preserve"> </w:t>
      </w:r>
      <w:proofErr w:type="gramStart"/>
      <w:r w:rsidR="00AC40CF">
        <w:rPr>
          <w:rFonts w:cs="Arial"/>
          <w:bCs/>
        </w:rPr>
        <w:t>8 week-old</w:t>
      </w:r>
      <w:proofErr w:type="gramEnd"/>
      <w:r w:rsidR="00AC40CF">
        <w:rPr>
          <w:rFonts w:cs="Arial"/>
          <w:bCs/>
        </w:rPr>
        <w:t xml:space="preserve"> </w:t>
      </w:r>
      <w:r w:rsidR="00AC40CF" w:rsidRPr="00497F24">
        <w:rPr>
          <w:rFonts w:cs="Arial"/>
          <w:i/>
        </w:rPr>
        <w:t>Mdr2</w:t>
      </w:r>
      <w:r w:rsidR="00AC40CF" w:rsidRPr="00497F24">
        <w:rPr>
          <w:rFonts w:cs="Arial"/>
          <w:i/>
          <w:vertAlign w:val="superscript"/>
        </w:rPr>
        <w:t>-/-</w:t>
      </w:r>
      <w:r w:rsidR="00AC40CF">
        <w:rPr>
          <w:rFonts w:cs="Arial"/>
        </w:rPr>
        <w:t xml:space="preserve"> and WT mice </w:t>
      </w:r>
      <w:r w:rsidR="00AC40CF" w:rsidRPr="00F4402C">
        <w:rPr>
          <w:rFonts w:cs="Arial"/>
        </w:rPr>
        <w:t>+/- IDN 7314 treatmen</w:t>
      </w:r>
      <w:r w:rsidR="00AC40CF">
        <w:rPr>
          <w:rFonts w:cs="Arial"/>
        </w:rPr>
        <w:t>t</w:t>
      </w:r>
      <w:r w:rsidR="00AC40CF" w:rsidRPr="00F4402C">
        <w:rPr>
          <w:rFonts w:cs="Arial"/>
        </w:rPr>
        <w:t xml:space="preserve"> were included in this analysis.</w:t>
      </w:r>
      <w:r w:rsidR="00CC7A4E">
        <w:rPr>
          <w:rFonts w:cs="Arial"/>
          <w:bCs/>
        </w:rPr>
        <w:t xml:space="preserve"> </w:t>
      </w:r>
      <w:r w:rsidR="00D74A77">
        <w:rPr>
          <w:rFonts w:cs="Arial"/>
          <w:bCs/>
        </w:rPr>
        <w:t>(A) Serum GLDH and AP levels.  (B</w:t>
      </w:r>
      <w:r w:rsidR="00CC7A4E" w:rsidRPr="00CC7A4E">
        <w:rPr>
          <w:rFonts w:cs="Arial"/>
          <w:bCs/>
        </w:rPr>
        <w:t xml:space="preserve">) </w:t>
      </w:r>
      <w:r w:rsidR="000A4C7B">
        <w:rPr>
          <w:rFonts w:cs="Arial"/>
          <w:bCs/>
        </w:rPr>
        <w:t xml:space="preserve">Immunofluorescence staining against ZO-1 demonstrates reduced expression ZO-1 in WT mice receiving </w:t>
      </w:r>
      <w:r w:rsidR="000A4C7B" w:rsidRPr="000A4C7B">
        <w:rPr>
          <w:rFonts w:cs="Arial"/>
          <w:bCs/>
          <w:i/>
        </w:rPr>
        <w:t>Mdr2</w:t>
      </w:r>
      <w:r w:rsidR="000A4C7B" w:rsidRPr="000A4C7B">
        <w:rPr>
          <w:rFonts w:cs="Arial"/>
          <w:bCs/>
          <w:i/>
          <w:vertAlign w:val="superscript"/>
        </w:rPr>
        <w:t>-/-</w:t>
      </w:r>
      <w:r w:rsidR="000A4C7B">
        <w:rPr>
          <w:rFonts w:cs="Arial"/>
          <w:bCs/>
        </w:rPr>
        <w:t xml:space="preserve"> microbiota via oral gavage (WT</w:t>
      </w:r>
      <w:r w:rsidR="000A4C7B">
        <w:rPr>
          <w:rFonts w:cs="Arial"/>
          <w:bCs/>
          <w:vertAlign w:val="superscript"/>
        </w:rPr>
        <w:t>FMT(</w:t>
      </w:r>
      <w:r w:rsidR="000A4C7B" w:rsidRPr="003E37A3">
        <w:rPr>
          <w:rFonts w:cs="Arial"/>
          <w:bCs/>
          <w:i/>
          <w:vertAlign w:val="superscript"/>
        </w:rPr>
        <w:t>Mdr2-/-</w:t>
      </w:r>
      <w:r w:rsidR="000A4C7B">
        <w:rPr>
          <w:rFonts w:cs="Arial"/>
          <w:bCs/>
          <w:vertAlign w:val="superscript"/>
        </w:rPr>
        <w:t>)</w:t>
      </w:r>
      <w:r w:rsidR="000A4C7B">
        <w:rPr>
          <w:rFonts w:cs="Arial"/>
          <w:bCs/>
        </w:rPr>
        <w:t xml:space="preserve">). </w:t>
      </w:r>
      <w:r w:rsidR="00D74A77">
        <w:rPr>
          <w:rFonts w:cs="Arial"/>
          <w:bCs/>
        </w:rPr>
        <w:t>(C) CD45 immunohistochemical staining on paraffin liver sections and staining quantification. (D</w:t>
      </w:r>
      <w:r w:rsidR="000A4C7B">
        <w:rPr>
          <w:rFonts w:cs="Arial"/>
          <w:bCs/>
        </w:rPr>
        <w:t>) Intestinal microbiota composition (family level) of WT</w:t>
      </w:r>
      <w:r w:rsidR="000A4C7B">
        <w:rPr>
          <w:rFonts w:cs="Arial"/>
          <w:bCs/>
          <w:vertAlign w:val="superscript"/>
        </w:rPr>
        <w:t xml:space="preserve">FMT(WT) </w:t>
      </w:r>
      <w:r w:rsidR="000A4C7B">
        <w:rPr>
          <w:rFonts w:cs="Arial"/>
          <w:bCs/>
        </w:rPr>
        <w:t>and WT</w:t>
      </w:r>
      <w:r w:rsidR="000A4C7B">
        <w:rPr>
          <w:rFonts w:cs="Arial"/>
          <w:bCs/>
          <w:vertAlign w:val="superscript"/>
        </w:rPr>
        <w:t>FMT(</w:t>
      </w:r>
      <w:r w:rsidR="000A4C7B">
        <w:rPr>
          <w:rFonts w:cs="Arial"/>
          <w:bCs/>
          <w:i/>
          <w:vertAlign w:val="superscript"/>
        </w:rPr>
        <w:t>Mdr2-/-</w:t>
      </w:r>
      <w:r w:rsidR="000A4C7B">
        <w:rPr>
          <w:rFonts w:cs="Arial"/>
          <w:bCs/>
          <w:vertAlign w:val="superscript"/>
        </w:rPr>
        <w:t>)</w:t>
      </w:r>
      <w:r w:rsidR="000A4C7B">
        <w:rPr>
          <w:rFonts w:cs="Arial"/>
          <w:bCs/>
        </w:rPr>
        <w:t xml:space="preserve"> mice before (d0) and after (d7) repetitive FMT as well as WT and </w:t>
      </w:r>
      <w:r w:rsidR="000A4C7B" w:rsidRPr="000A4C7B">
        <w:rPr>
          <w:rFonts w:cs="Arial"/>
          <w:bCs/>
          <w:i/>
        </w:rPr>
        <w:t>Mdr2</w:t>
      </w:r>
      <w:r w:rsidR="000A4C7B" w:rsidRPr="000A4C7B">
        <w:rPr>
          <w:rFonts w:cs="Arial"/>
          <w:bCs/>
          <w:i/>
          <w:vertAlign w:val="superscript"/>
        </w:rPr>
        <w:t>-/-</w:t>
      </w:r>
      <w:r w:rsidR="00D74A77">
        <w:rPr>
          <w:rFonts w:cs="Arial"/>
          <w:bCs/>
        </w:rPr>
        <w:t xml:space="preserve"> donor mice. (E</w:t>
      </w:r>
      <w:r w:rsidR="000A4C7B">
        <w:rPr>
          <w:rFonts w:cs="Arial"/>
          <w:bCs/>
        </w:rPr>
        <w:t xml:space="preserve">) </w:t>
      </w:r>
      <w:r w:rsidR="000A4C7B" w:rsidRPr="00383E5D">
        <w:rPr>
          <w:rFonts w:cs="Arial"/>
          <w:u w:val="single"/>
        </w:rPr>
        <w:t xml:space="preserve">Microbiota community structure of </w:t>
      </w:r>
      <w:r w:rsidR="000A4C7B">
        <w:rPr>
          <w:rFonts w:cs="Arial"/>
          <w:u w:val="single"/>
        </w:rPr>
        <w:t>WT donor mice vs. Mdr2</w:t>
      </w:r>
      <w:r w:rsidR="000A4C7B" w:rsidRPr="000A4C7B">
        <w:rPr>
          <w:rFonts w:cs="Arial"/>
          <w:u w:val="single"/>
          <w:vertAlign w:val="superscript"/>
        </w:rPr>
        <w:t>-/-</w:t>
      </w:r>
      <w:r w:rsidR="00D74A77">
        <w:rPr>
          <w:rFonts w:cs="Arial"/>
          <w:u w:val="single"/>
        </w:rPr>
        <w:t xml:space="preserve"> donors. (F</w:t>
      </w:r>
      <w:r w:rsidR="000A4C7B">
        <w:rPr>
          <w:rFonts w:cs="Arial"/>
          <w:u w:val="single"/>
        </w:rPr>
        <w:t xml:space="preserve">) </w:t>
      </w:r>
      <w:r w:rsidR="000A4C7B" w:rsidRPr="00383E5D">
        <w:rPr>
          <w:rFonts w:cs="Arial"/>
          <w:u w:val="single"/>
        </w:rPr>
        <w:t>Microbiota community structure of WT</w:t>
      </w:r>
      <w:r w:rsidR="000A4C7B">
        <w:rPr>
          <w:rFonts w:cs="Arial"/>
          <w:u w:val="single"/>
          <w:vertAlign w:val="superscript"/>
        </w:rPr>
        <w:t>FMT(</w:t>
      </w:r>
      <w:r w:rsidR="000A4C7B" w:rsidRPr="00F57220">
        <w:rPr>
          <w:rFonts w:cs="Arial"/>
          <w:i/>
          <w:u w:val="single"/>
          <w:vertAlign w:val="superscript"/>
        </w:rPr>
        <w:t>Mdr2-/-</w:t>
      </w:r>
      <w:r w:rsidR="000A4C7B" w:rsidRPr="00383E5D">
        <w:rPr>
          <w:rFonts w:cs="Arial"/>
          <w:u w:val="single"/>
          <w:vertAlign w:val="superscript"/>
        </w:rPr>
        <w:t xml:space="preserve">) </w:t>
      </w:r>
      <w:r w:rsidR="000A4C7B">
        <w:rPr>
          <w:rFonts w:cs="Arial"/>
        </w:rPr>
        <w:t xml:space="preserve">vs. </w:t>
      </w:r>
      <w:r w:rsidR="000A4C7B" w:rsidRPr="00383E5D">
        <w:rPr>
          <w:rFonts w:cs="Arial"/>
          <w:u w:val="single"/>
        </w:rPr>
        <w:t>WT</w:t>
      </w:r>
      <w:r w:rsidR="000A4C7B">
        <w:rPr>
          <w:rFonts w:cs="Arial"/>
          <w:u w:val="single"/>
          <w:vertAlign w:val="superscript"/>
        </w:rPr>
        <w:t>FMT(WT</w:t>
      </w:r>
      <w:r w:rsidR="000A4C7B" w:rsidRPr="00383E5D">
        <w:rPr>
          <w:rFonts w:cs="Arial"/>
          <w:u w:val="single"/>
          <w:vertAlign w:val="superscript"/>
        </w:rPr>
        <w:t>)</w:t>
      </w:r>
      <w:r w:rsidR="000A4C7B">
        <w:rPr>
          <w:rFonts w:cs="Arial"/>
          <w:u w:val="single"/>
          <w:vertAlign w:val="superscript"/>
        </w:rPr>
        <w:t xml:space="preserve"> </w:t>
      </w:r>
      <w:r w:rsidR="000A4C7B">
        <w:rPr>
          <w:rFonts w:cs="Arial"/>
          <w:u w:val="single"/>
        </w:rPr>
        <w:t xml:space="preserve">mice after one week of repetitive FMT. </w:t>
      </w:r>
      <w:r w:rsidR="000A4C7B">
        <w:rPr>
          <w:rFonts w:cs="Arial"/>
          <w:u w:val="single"/>
          <w:vertAlign w:val="superscript"/>
        </w:rPr>
        <w:t xml:space="preserve"> </w:t>
      </w:r>
      <w:r w:rsidR="00D74A77">
        <w:rPr>
          <w:rFonts w:cs="Arial"/>
          <w:bCs/>
        </w:rPr>
        <w:t>(G</w:t>
      </w:r>
      <w:r w:rsidR="000A4C7B">
        <w:rPr>
          <w:rFonts w:cs="Arial"/>
          <w:bCs/>
        </w:rPr>
        <w:t xml:space="preserve">) Microbiota of </w:t>
      </w:r>
      <w:r w:rsidR="000A4C7B" w:rsidRPr="00383E5D">
        <w:rPr>
          <w:rFonts w:cs="Arial"/>
          <w:u w:val="single"/>
        </w:rPr>
        <w:t>WT</w:t>
      </w:r>
      <w:r w:rsidR="000A4C7B">
        <w:rPr>
          <w:rFonts w:cs="Arial"/>
          <w:u w:val="single"/>
          <w:vertAlign w:val="superscript"/>
        </w:rPr>
        <w:t>FMT(</w:t>
      </w:r>
      <w:r w:rsidR="000A4C7B" w:rsidRPr="00F57220">
        <w:rPr>
          <w:rFonts w:cs="Arial"/>
          <w:i/>
          <w:u w:val="single"/>
          <w:vertAlign w:val="superscript"/>
        </w:rPr>
        <w:t>Mdr2-/-</w:t>
      </w:r>
      <w:r w:rsidR="000A4C7B" w:rsidRPr="00383E5D">
        <w:rPr>
          <w:rFonts w:cs="Arial"/>
          <w:u w:val="single"/>
          <w:vertAlign w:val="superscript"/>
        </w:rPr>
        <w:t>)</w:t>
      </w:r>
      <w:r w:rsidR="000A4C7B">
        <w:rPr>
          <w:rFonts w:cs="Arial"/>
          <w:vertAlign w:val="superscript"/>
        </w:rPr>
        <w:t xml:space="preserve"> </w:t>
      </w:r>
      <w:r w:rsidR="000A4C7B">
        <w:rPr>
          <w:rFonts w:cs="Arial"/>
        </w:rPr>
        <w:t xml:space="preserve">vs. </w:t>
      </w:r>
      <w:r w:rsidR="000A4C7B" w:rsidRPr="000A4C7B">
        <w:rPr>
          <w:rFonts w:cs="Arial"/>
          <w:i/>
        </w:rPr>
        <w:t>Mdr2</w:t>
      </w:r>
      <w:r w:rsidR="000A4C7B" w:rsidRPr="000A4C7B">
        <w:rPr>
          <w:rFonts w:cs="Arial"/>
          <w:i/>
          <w:vertAlign w:val="superscript"/>
        </w:rPr>
        <w:t>-/-</w:t>
      </w:r>
      <w:r w:rsidR="000A4C7B">
        <w:rPr>
          <w:rFonts w:cs="Arial"/>
        </w:rPr>
        <w:t xml:space="preserve"> donors after FMT. </w:t>
      </w:r>
      <w:r w:rsidR="00672671" w:rsidRPr="00F4402C">
        <w:rPr>
          <w:rFonts w:cs="Arial"/>
        </w:rPr>
        <w:t>Data are e</w:t>
      </w:r>
      <w:r w:rsidR="00672671">
        <w:rPr>
          <w:rFonts w:cs="Arial"/>
        </w:rPr>
        <w:t xml:space="preserve">xpressed as the mean ± SD from 3 to 5 mice per group. </w:t>
      </w:r>
    </w:p>
    <w:p w14:paraId="48A67DFE" w14:textId="20278E86" w:rsidR="003E37A3" w:rsidRPr="00915A66" w:rsidRDefault="003E37A3" w:rsidP="003E37A3">
      <w:pPr>
        <w:jc w:val="both"/>
        <w:rPr>
          <w:rFonts w:eastAsiaTheme="minorEastAsia" w:cs="Arial"/>
          <w:lang w:eastAsia="zh-CN"/>
        </w:rPr>
      </w:pPr>
      <w:r w:rsidRPr="00F4402C">
        <w:rPr>
          <w:rFonts w:cs="Arial"/>
          <w:b/>
          <w:bCs/>
        </w:rPr>
        <w:t>Figure S</w:t>
      </w:r>
      <w:proofErr w:type="gramStart"/>
      <w:r>
        <w:rPr>
          <w:rFonts w:cs="Arial"/>
          <w:b/>
          <w:bCs/>
          <w:lang w:val="en-GB"/>
        </w:rPr>
        <w:t>8</w:t>
      </w:r>
      <w:r>
        <w:rPr>
          <w:rFonts w:cs="Arial"/>
          <w:b/>
          <w:bCs/>
        </w:rPr>
        <w:t xml:space="preserve">  </w:t>
      </w:r>
      <w:r w:rsidRPr="00401226">
        <w:rPr>
          <w:rFonts w:cs="Arial"/>
          <w:bCs/>
        </w:rPr>
        <w:t>IDN</w:t>
      </w:r>
      <w:proofErr w:type="gramEnd"/>
      <w:r w:rsidRPr="00401226">
        <w:rPr>
          <w:rFonts w:cs="Arial"/>
          <w:bCs/>
        </w:rPr>
        <w:t xml:space="preserve">-7314 treatment reshapes intestinal microbiota composition </w:t>
      </w:r>
      <w:r w:rsidRPr="00CC7A4E">
        <w:rPr>
          <w:rFonts w:cs="Arial"/>
          <w:bCs/>
          <w:lang w:val="en-GB"/>
        </w:rPr>
        <w:t xml:space="preserve">and </w:t>
      </w:r>
      <w:r w:rsidRPr="00CC7A4E">
        <w:rPr>
          <w:rFonts w:cs="Arial"/>
          <w:bCs/>
        </w:rPr>
        <w:t>inhibits</w:t>
      </w:r>
      <w:r>
        <w:rPr>
          <w:rFonts w:cs="Arial"/>
          <w:bCs/>
        </w:rPr>
        <w:t xml:space="preserve"> liver</w:t>
      </w:r>
      <w:r w:rsidRPr="00CC7A4E">
        <w:rPr>
          <w:rFonts w:cs="Arial"/>
          <w:bCs/>
        </w:rPr>
        <w:t xml:space="preserve"> inflammasome activation</w:t>
      </w:r>
      <w:r w:rsidRPr="00401226">
        <w:rPr>
          <w:rFonts w:cs="Arial"/>
          <w:bCs/>
        </w:rPr>
        <w:t xml:space="preserve"> </w:t>
      </w:r>
      <w:r>
        <w:rPr>
          <w:rFonts w:cs="Arial"/>
          <w:bCs/>
        </w:rPr>
        <w:t>in</w:t>
      </w:r>
      <w:r w:rsidRPr="00401226">
        <w:rPr>
          <w:rFonts w:cs="Arial"/>
          <w:bCs/>
        </w:rPr>
        <w:t xml:space="preserve"> </w:t>
      </w:r>
      <w:r w:rsidRPr="00497F24">
        <w:rPr>
          <w:rFonts w:cs="Arial"/>
          <w:bCs/>
          <w:i/>
        </w:rPr>
        <w:t>Mdr2</w:t>
      </w:r>
      <w:r w:rsidRPr="00497F24">
        <w:rPr>
          <w:rFonts w:cs="Arial"/>
          <w:bCs/>
          <w:i/>
          <w:vertAlign w:val="superscript"/>
        </w:rPr>
        <w:t>-/-</w:t>
      </w:r>
      <w:r w:rsidRPr="00401226">
        <w:rPr>
          <w:rFonts w:cs="Arial"/>
          <w:bCs/>
        </w:rPr>
        <w:t xml:space="preserve"> mice.</w:t>
      </w:r>
      <w:r>
        <w:rPr>
          <w:rFonts w:cs="Arial"/>
          <w:bCs/>
        </w:rPr>
        <w:t xml:space="preserve"> </w:t>
      </w:r>
      <w:proofErr w:type="gramStart"/>
      <w:r>
        <w:rPr>
          <w:rFonts w:cs="Arial"/>
          <w:bCs/>
        </w:rPr>
        <w:t>8 week-old</w:t>
      </w:r>
      <w:proofErr w:type="gramEnd"/>
      <w:r>
        <w:rPr>
          <w:rFonts w:cs="Arial"/>
          <w:bCs/>
        </w:rPr>
        <w:t xml:space="preserve"> </w:t>
      </w:r>
      <w:r w:rsidRPr="00497F24">
        <w:rPr>
          <w:rFonts w:cs="Arial"/>
          <w:i/>
        </w:rPr>
        <w:t>Mdr2</w:t>
      </w:r>
      <w:r w:rsidRPr="00497F24">
        <w:rPr>
          <w:rFonts w:cs="Arial"/>
          <w:i/>
          <w:vertAlign w:val="superscript"/>
        </w:rPr>
        <w:t>-/-</w:t>
      </w:r>
      <w:r>
        <w:rPr>
          <w:rFonts w:cs="Arial"/>
        </w:rPr>
        <w:t xml:space="preserve"> and WT mice </w:t>
      </w:r>
      <w:r w:rsidRPr="00F4402C">
        <w:rPr>
          <w:rFonts w:cs="Arial"/>
        </w:rPr>
        <w:t>+/- IDN 7314 treatmen</w:t>
      </w:r>
      <w:r>
        <w:rPr>
          <w:rFonts w:cs="Arial"/>
        </w:rPr>
        <w:t>t</w:t>
      </w:r>
      <w:r w:rsidRPr="00F4402C">
        <w:rPr>
          <w:rFonts w:cs="Arial"/>
        </w:rPr>
        <w:t xml:space="preserve"> were included in this analysis.</w:t>
      </w:r>
      <w:r>
        <w:rPr>
          <w:rFonts w:cs="Arial"/>
          <w:bCs/>
        </w:rPr>
        <w:t xml:space="preserve"> </w:t>
      </w:r>
      <w:r w:rsidRPr="00CC7A4E">
        <w:rPr>
          <w:rFonts w:cs="Arial"/>
          <w:bCs/>
        </w:rPr>
        <w:t xml:space="preserve">(A) </w:t>
      </w:r>
      <w:r>
        <w:rPr>
          <w:rFonts w:cs="Arial"/>
        </w:rPr>
        <w:t>Quantification of cleaved caspase-8 (P43 and P18) and (B) cleaved caspase-3 western blot bands performed on liver tissue</w:t>
      </w:r>
      <w:r w:rsidRPr="00F4402C">
        <w:rPr>
          <w:rFonts w:cs="Arial"/>
        </w:rPr>
        <w:t>.</w:t>
      </w:r>
      <w:r>
        <w:rPr>
          <w:rFonts w:cs="Arial"/>
        </w:rPr>
        <w:t xml:space="preserve"> </w:t>
      </w:r>
      <w:r>
        <w:rPr>
          <w:rFonts w:cs="Arial"/>
          <w:bCs/>
        </w:rPr>
        <w:t>(C</w:t>
      </w:r>
      <w:r w:rsidRPr="00763F89">
        <w:rPr>
          <w:rFonts w:cs="Arial"/>
          <w:bCs/>
        </w:rPr>
        <w:t>)</w:t>
      </w:r>
      <w:r w:rsidRPr="00F4402C">
        <w:rPr>
          <w:rFonts w:cs="Arial"/>
          <w:b/>
          <w:bCs/>
        </w:rPr>
        <w:t xml:space="preserve"> </w:t>
      </w:r>
      <w:r w:rsidR="00672671">
        <w:rPr>
          <w:rFonts w:cs="Arial"/>
        </w:rPr>
        <w:t>Bar chart based on permutational</w:t>
      </w:r>
      <w:r w:rsidRPr="00F4402C">
        <w:rPr>
          <w:rFonts w:cs="Arial"/>
        </w:rPr>
        <w:t xml:space="preserve"> multivariate analysis of variance (ADONIS) presenting percentage of variability of the gut microbiota explained by </w:t>
      </w:r>
      <w:r>
        <w:rPr>
          <w:rFonts w:cs="Arial"/>
        </w:rPr>
        <w:t>the factor “IDN 7314 treatment” in</w:t>
      </w:r>
      <w:r w:rsidR="00672671">
        <w:rPr>
          <w:rFonts w:cs="Arial"/>
        </w:rPr>
        <w:t xml:space="preserve"> </w:t>
      </w:r>
      <w:proofErr w:type="spellStart"/>
      <w:r w:rsidR="00672671">
        <w:rPr>
          <w:rFonts w:cs="Arial"/>
        </w:rPr>
        <w:t>caecal</w:t>
      </w:r>
      <w:proofErr w:type="spellEnd"/>
      <w:r w:rsidR="00672671">
        <w:rPr>
          <w:rFonts w:cs="Arial"/>
        </w:rPr>
        <w:t xml:space="preserve"> content</w:t>
      </w:r>
      <w:r>
        <w:rPr>
          <w:rFonts w:cs="Arial"/>
        </w:rPr>
        <w:t>.</w:t>
      </w:r>
      <w:r w:rsidRPr="00F4402C">
        <w:rPr>
          <w:rFonts w:cs="Arial"/>
          <w:b/>
          <w:bCs/>
        </w:rPr>
        <w:t xml:space="preserve"> </w:t>
      </w:r>
      <w:r>
        <w:rPr>
          <w:rFonts w:cs="Arial"/>
        </w:rPr>
        <w:t>(D</w:t>
      </w:r>
      <w:r w:rsidRPr="0015260C">
        <w:rPr>
          <w:rFonts w:cs="Arial"/>
        </w:rPr>
        <w:t>)</w:t>
      </w:r>
      <w:r w:rsidRPr="00F4402C">
        <w:rPr>
          <w:rFonts w:cs="Arial"/>
        </w:rPr>
        <w:t xml:space="preserve"> </w:t>
      </w:r>
      <w:r>
        <w:rPr>
          <w:rFonts w:cs="Arial"/>
        </w:rPr>
        <w:t>Quantification of</w:t>
      </w:r>
      <w:r w:rsidR="00672671">
        <w:rPr>
          <w:rFonts w:cs="Arial"/>
        </w:rPr>
        <w:t xml:space="preserve"> NLRP3, </w:t>
      </w:r>
      <w:r w:rsidR="00672671" w:rsidRPr="00CF69AF">
        <w:rPr>
          <w:rFonts w:cs="Arial"/>
        </w:rPr>
        <w:t>IL-1β</w:t>
      </w:r>
      <w:r w:rsidR="00672671">
        <w:rPr>
          <w:rFonts w:cs="Arial"/>
        </w:rPr>
        <w:t xml:space="preserve"> and</w:t>
      </w:r>
      <w:r>
        <w:rPr>
          <w:rFonts w:cs="Arial"/>
        </w:rPr>
        <w:t xml:space="preserve"> pro-IL-1β</w:t>
      </w:r>
      <w:r w:rsidR="00672671">
        <w:rPr>
          <w:rFonts w:cs="Arial"/>
        </w:rPr>
        <w:t xml:space="preserve"> of </w:t>
      </w:r>
      <w:r>
        <w:rPr>
          <w:rFonts w:cs="Arial"/>
        </w:rPr>
        <w:t>western blot bands</w:t>
      </w:r>
      <w:r w:rsidRPr="00F4402C">
        <w:rPr>
          <w:rFonts w:cs="Arial"/>
        </w:rPr>
        <w:t>.</w:t>
      </w:r>
      <w:r>
        <w:rPr>
          <w:rFonts w:cs="Arial"/>
        </w:rPr>
        <w:t xml:space="preserve"> </w:t>
      </w:r>
      <w:r w:rsidRPr="00CC7A4E">
        <w:rPr>
          <w:rFonts w:cs="Arial"/>
          <w:bCs/>
        </w:rPr>
        <w:t>(</w:t>
      </w:r>
      <w:r>
        <w:rPr>
          <w:rFonts w:cs="Arial"/>
          <w:bCs/>
        </w:rPr>
        <w:t>E</w:t>
      </w:r>
      <w:r w:rsidRPr="00CC7A4E">
        <w:rPr>
          <w:rFonts w:cs="Arial"/>
          <w:bCs/>
        </w:rPr>
        <w:t xml:space="preserve">) </w:t>
      </w:r>
      <w:r>
        <w:rPr>
          <w:rFonts w:cs="Arial"/>
        </w:rPr>
        <w:t>CD11b immunofluorescence</w:t>
      </w:r>
      <w:r w:rsidRPr="00F4402C">
        <w:rPr>
          <w:rFonts w:cs="Arial"/>
        </w:rPr>
        <w:t xml:space="preserve"> staining</w:t>
      </w:r>
      <w:r w:rsidR="00672671">
        <w:rPr>
          <w:rFonts w:cs="Arial"/>
        </w:rPr>
        <w:t xml:space="preserve"> (left panel)</w:t>
      </w:r>
      <w:r>
        <w:rPr>
          <w:rFonts w:cs="Arial"/>
        </w:rPr>
        <w:t xml:space="preserve"> and quantification</w:t>
      </w:r>
      <w:r w:rsidR="00672671">
        <w:rPr>
          <w:rFonts w:cs="Arial"/>
        </w:rPr>
        <w:t xml:space="preserve"> (right panel)</w:t>
      </w:r>
      <w:r w:rsidRPr="00F4402C">
        <w:rPr>
          <w:rFonts w:cs="Arial"/>
        </w:rPr>
        <w:t xml:space="preserve"> in livers of </w:t>
      </w:r>
      <w:r w:rsidRPr="00497F24">
        <w:rPr>
          <w:rFonts w:cs="Arial"/>
          <w:i/>
        </w:rPr>
        <w:t>Mdr2</w:t>
      </w:r>
      <w:r w:rsidRPr="00497F24">
        <w:rPr>
          <w:rFonts w:cs="Arial"/>
          <w:i/>
          <w:vertAlign w:val="superscript"/>
        </w:rPr>
        <w:t>-/-</w:t>
      </w:r>
      <w:r w:rsidRPr="00F4402C">
        <w:rPr>
          <w:rFonts w:cs="Arial"/>
        </w:rPr>
        <w:t xml:space="preserve"> an</w:t>
      </w:r>
      <w:r>
        <w:rPr>
          <w:rFonts w:cs="Arial"/>
        </w:rPr>
        <w:t xml:space="preserve">d WT mice. </w:t>
      </w:r>
      <w:r w:rsidRPr="00F4402C">
        <w:rPr>
          <w:rFonts w:cs="Arial"/>
        </w:rPr>
        <w:t>Data are e</w:t>
      </w:r>
      <w:r>
        <w:rPr>
          <w:rFonts w:cs="Arial"/>
        </w:rPr>
        <w:t>xpressed as the mean ± SD from 6 to 6</w:t>
      </w:r>
      <w:r w:rsidRPr="00F4402C">
        <w:rPr>
          <w:rFonts w:cs="Arial"/>
        </w:rPr>
        <w:t xml:space="preserve"> mice per group and considered significant if ** </w:t>
      </w:r>
      <w:r w:rsidRPr="00F4402C">
        <w:rPr>
          <w:rFonts w:cs="Arial"/>
          <w:i/>
          <w:iCs/>
        </w:rPr>
        <w:t>p</w:t>
      </w:r>
      <w:r w:rsidRPr="00F4402C">
        <w:rPr>
          <w:rFonts w:cs="Arial"/>
        </w:rPr>
        <w:t xml:space="preserve">&lt;0.01, *** </w:t>
      </w:r>
      <w:r w:rsidRPr="00F4402C">
        <w:rPr>
          <w:rFonts w:cs="Arial"/>
          <w:i/>
          <w:iCs/>
        </w:rPr>
        <w:t>p</w:t>
      </w:r>
      <w:r w:rsidRPr="00F4402C">
        <w:rPr>
          <w:rFonts w:cs="Arial"/>
        </w:rPr>
        <w:t xml:space="preserve">&lt;0.001. </w:t>
      </w:r>
    </w:p>
    <w:p w14:paraId="602E6BF6" w14:textId="77777777" w:rsidR="00D55368" w:rsidRDefault="00D55368" w:rsidP="00EC53DB">
      <w:pPr>
        <w:jc w:val="both"/>
        <w:outlineLvl w:val="0"/>
        <w:rPr>
          <w:rFonts w:eastAsiaTheme="minorEastAsia" w:cs="Arial"/>
          <w:lang w:eastAsia="zh-CN"/>
        </w:rPr>
      </w:pPr>
    </w:p>
    <w:p w14:paraId="1668155E" w14:textId="77777777" w:rsidR="00F96C43" w:rsidRDefault="00F96C43">
      <w:pPr>
        <w:spacing w:after="160" w:line="259" w:lineRule="auto"/>
        <w:rPr>
          <w:rFonts w:eastAsia="SimSun" w:cs="Arial"/>
          <w:b/>
          <w:lang w:eastAsia="zh-CN"/>
        </w:rPr>
      </w:pPr>
      <w:r>
        <w:rPr>
          <w:rFonts w:eastAsia="SimSun" w:cs="Arial"/>
          <w:b/>
          <w:lang w:eastAsia="zh-CN"/>
        </w:rPr>
        <w:lastRenderedPageBreak/>
        <w:br w:type="page"/>
      </w:r>
    </w:p>
    <w:p w14:paraId="05D5AAEB" w14:textId="41A94926" w:rsidR="00CB0FB6" w:rsidRPr="00D47D9E" w:rsidRDefault="00763F89" w:rsidP="00EC53DB">
      <w:pPr>
        <w:jc w:val="both"/>
        <w:outlineLvl w:val="0"/>
        <w:rPr>
          <w:rFonts w:eastAsia="SimSun" w:cs="Arial"/>
          <w:b/>
          <w:lang w:eastAsia="zh-CN"/>
        </w:rPr>
      </w:pPr>
      <w:r>
        <w:rPr>
          <w:rFonts w:eastAsia="SimSun" w:cs="Arial"/>
          <w:b/>
          <w:lang w:eastAsia="zh-CN"/>
        </w:rPr>
        <w:lastRenderedPageBreak/>
        <w:t>METHODS</w:t>
      </w:r>
    </w:p>
    <w:p w14:paraId="57551A36" w14:textId="77777777" w:rsidR="00884A33" w:rsidRDefault="00884A33" w:rsidP="00884A33">
      <w:pPr>
        <w:jc w:val="both"/>
        <w:rPr>
          <w:rFonts w:cs="Arial"/>
          <w:b/>
          <w:lang w:eastAsia="zh-CN"/>
        </w:rPr>
      </w:pPr>
      <w:r>
        <w:rPr>
          <w:rFonts w:cs="Arial"/>
          <w:b/>
          <w:lang w:eastAsia="zh-CN"/>
        </w:rPr>
        <w:t xml:space="preserve">Fecal microbiota transfer </w:t>
      </w:r>
    </w:p>
    <w:p w14:paraId="6F67F93C" w14:textId="1ACD04D2" w:rsidR="00672671" w:rsidRPr="0039100B" w:rsidRDefault="00672671" w:rsidP="00672671">
      <w:pPr>
        <w:jc w:val="both"/>
        <w:rPr>
          <w:rFonts w:cs="Arial"/>
          <w:strike/>
        </w:rPr>
      </w:pPr>
      <w:r w:rsidRPr="00EE161E">
        <w:rPr>
          <w:rFonts w:cs="Arial"/>
        </w:rPr>
        <w:t>For microbiota modulation experiments (fecal microbiota transfer, FMT), WT mice were treated for 1 week three times/week (Monday-Wednesday and Friday) via oral gavage with 200ul of fecal dilution.</w:t>
      </w:r>
      <w:r w:rsidR="0039100B">
        <w:rPr>
          <w:rFonts w:cs="Arial"/>
        </w:rPr>
        <w:t xml:space="preserve"> </w:t>
      </w:r>
      <w:r w:rsidRPr="00EE161E">
        <w:rPr>
          <w:rFonts w:cs="Arial"/>
        </w:rPr>
        <w:t xml:space="preserve">To prepare this dilution, per mouse 20mg of freshly harvested stool (immediately upon defecation) was collected from a group of 4 </w:t>
      </w:r>
      <w:r w:rsidRPr="00EE161E">
        <w:rPr>
          <w:rFonts w:cs="Arial"/>
          <w:i/>
        </w:rPr>
        <w:t>Mdr2</w:t>
      </w:r>
      <w:r w:rsidRPr="00EE161E">
        <w:rPr>
          <w:rFonts w:cs="Arial"/>
          <w:i/>
          <w:vertAlign w:val="superscript"/>
        </w:rPr>
        <w:t xml:space="preserve">-/- </w:t>
      </w:r>
      <w:r w:rsidRPr="00EE161E">
        <w:rPr>
          <w:rFonts w:cs="Arial"/>
        </w:rPr>
        <w:t>donor and 3 WT donor mice</w:t>
      </w:r>
      <w:r w:rsidR="0039100B">
        <w:rPr>
          <w:rFonts w:cs="Arial"/>
        </w:rPr>
        <w:t xml:space="preserve"> (</w:t>
      </w:r>
      <w:r w:rsidR="0039100B" w:rsidRPr="0039100B">
        <w:rPr>
          <w:rFonts w:cs="Arial"/>
        </w:rPr>
        <w:t>all mice between 10-13 weeks old)</w:t>
      </w:r>
      <w:r w:rsidRPr="00EE161E">
        <w:rPr>
          <w:rFonts w:cs="Arial"/>
        </w:rPr>
        <w:t>. Stool pellets were pooled and then vortexed for 3 min in 100µl/20mg(stool) anaerobic PBS to dilute it almost entirely. Next, samples were gently centrifuged for 2 minutes at 50g to allow stool particulate to settle. Supernatant was collected and diluted 1:1 with anaerobic PBS. 200µl of this suspension was transplanted by o</w:t>
      </w:r>
      <w:r>
        <w:rPr>
          <w:rFonts w:cs="Arial"/>
        </w:rPr>
        <w:t>ral gavage into recipient mice</w:t>
      </w:r>
      <w:r w:rsidR="0039100B">
        <w:rPr>
          <w:rFonts w:cs="Arial"/>
        </w:rPr>
        <w:t xml:space="preserve"> </w:t>
      </w:r>
      <w:r w:rsidR="0039100B" w:rsidRPr="0039100B">
        <w:rPr>
          <w:rFonts w:cs="Arial"/>
        </w:rPr>
        <w:t xml:space="preserve">(8 weeks old, WT littermates). </w:t>
      </w:r>
    </w:p>
    <w:p w14:paraId="59F08C43" w14:textId="77777777" w:rsidR="00884A33" w:rsidRPr="00D47D9E" w:rsidRDefault="00884A33" w:rsidP="00884A33">
      <w:pPr>
        <w:jc w:val="both"/>
        <w:rPr>
          <w:rFonts w:cs="Arial"/>
          <w:b/>
          <w:lang w:eastAsia="zh-CN"/>
        </w:rPr>
      </w:pPr>
      <w:proofErr w:type="spellStart"/>
      <w:r w:rsidRPr="00D47D9E">
        <w:rPr>
          <w:rFonts w:cs="Arial"/>
          <w:b/>
          <w:lang w:eastAsia="zh-CN"/>
        </w:rPr>
        <w:t>qRT</w:t>
      </w:r>
      <w:proofErr w:type="spellEnd"/>
      <w:r w:rsidRPr="00D47D9E">
        <w:rPr>
          <w:rFonts w:cs="Arial"/>
          <w:b/>
          <w:lang w:eastAsia="zh-CN"/>
        </w:rPr>
        <w:t>–PCR</w:t>
      </w:r>
    </w:p>
    <w:p w14:paraId="7C41BC94" w14:textId="78CACA4B" w:rsidR="00884A33" w:rsidRPr="00D47D9E" w:rsidRDefault="00884A33" w:rsidP="00884A33">
      <w:pPr>
        <w:jc w:val="both"/>
        <w:rPr>
          <w:rFonts w:cs="Arial"/>
          <w:lang w:val="en-GB"/>
        </w:rPr>
      </w:pPr>
      <w:r w:rsidRPr="00D47D9E">
        <w:rPr>
          <w:rFonts w:eastAsia="AdvOT1ef757c0" w:cs="Arial"/>
          <w:lang w:eastAsia="zh-CN"/>
        </w:rPr>
        <w:t xml:space="preserve">Total RNA was extracted with </w:t>
      </w:r>
      <w:proofErr w:type="spellStart"/>
      <w:r w:rsidRPr="00D47D9E">
        <w:rPr>
          <w:rFonts w:eastAsia="AdvOT1ef757c0" w:cs="Arial"/>
          <w:lang w:eastAsia="zh-CN"/>
        </w:rPr>
        <w:t>Trizol</w:t>
      </w:r>
      <w:proofErr w:type="spellEnd"/>
      <w:r w:rsidRPr="00D47D9E">
        <w:rPr>
          <w:rFonts w:eastAsia="AdvOT1ef757c0" w:cs="Arial"/>
          <w:lang w:eastAsia="zh-CN"/>
        </w:rPr>
        <w:t xml:space="preserve"> Reagent (Life Technologies) and reverse transcription was performed using an </w:t>
      </w:r>
      <w:proofErr w:type="spellStart"/>
      <w:r w:rsidRPr="00D47D9E">
        <w:rPr>
          <w:rFonts w:eastAsia="AdvOT1ef757c0" w:cs="Arial"/>
          <w:lang w:eastAsia="zh-CN"/>
        </w:rPr>
        <w:t>Omniscript</w:t>
      </w:r>
      <w:proofErr w:type="spellEnd"/>
      <w:r w:rsidRPr="00D47D9E">
        <w:rPr>
          <w:rFonts w:eastAsia="AdvOT1ef757c0" w:cs="Arial"/>
          <w:lang w:eastAsia="zh-CN"/>
        </w:rPr>
        <w:t xml:space="preserve"> kit (Qiagen) according to the manufacturer’s protocol. </w:t>
      </w:r>
      <w:r w:rsidRPr="00D47D9E">
        <w:rPr>
          <w:rFonts w:cs="Arial"/>
          <w:lang w:eastAsia="zh-CN"/>
        </w:rPr>
        <w:t xml:space="preserve">For the assembling of real time PCR reactions SYBR® </w:t>
      </w:r>
      <w:proofErr w:type="spellStart"/>
      <w:r w:rsidRPr="00D47D9E">
        <w:rPr>
          <w:rFonts w:cs="Arial"/>
          <w:lang w:eastAsia="zh-CN"/>
        </w:rPr>
        <w:t>GreenER</w:t>
      </w:r>
      <w:proofErr w:type="spellEnd"/>
      <w:r w:rsidRPr="00D47D9E">
        <w:rPr>
          <w:rFonts w:cs="Arial"/>
          <w:lang w:eastAsia="zh-CN"/>
        </w:rPr>
        <w:t xml:space="preserve"> qPCR </w:t>
      </w:r>
      <w:proofErr w:type="spellStart"/>
      <w:r w:rsidRPr="00D47D9E">
        <w:rPr>
          <w:rFonts w:cs="Arial"/>
          <w:lang w:eastAsia="zh-CN"/>
        </w:rPr>
        <w:t>SuperMix</w:t>
      </w:r>
      <w:proofErr w:type="spellEnd"/>
      <w:r w:rsidRPr="00D47D9E">
        <w:rPr>
          <w:rFonts w:cs="Arial"/>
          <w:lang w:eastAsia="zh-CN"/>
        </w:rPr>
        <w:t xml:space="preserve"> (Invitrogen) was used according to manufacturer’s recommendations.</w:t>
      </w:r>
      <w:r w:rsidRPr="00D47D9E">
        <w:rPr>
          <w:rFonts w:eastAsia="AdvOT1ef757c0" w:cs="Arial"/>
          <w:lang w:eastAsia="zh-CN"/>
        </w:rPr>
        <w:t xml:space="preserve"> Primer sequences are available upon request. </w:t>
      </w:r>
      <w:r w:rsidRPr="00D47D9E">
        <w:rPr>
          <w:rFonts w:cs="Arial"/>
          <w:lang w:val="en-GB"/>
        </w:rPr>
        <w:t>The Real-Time PCR System (AB 7300) was used. Expression of mRNA was calculated using the</w:t>
      </w:r>
      <w:r w:rsidRPr="00D47D9E">
        <w:rPr>
          <w:rFonts w:cs="Arial"/>
          <w:lang w:eastAsia="zh-CN"/>
        </w:rPr>
        <w:t xml:space="preserve"> 2</w:t>
      </w:r>
      <w:r w:rsidRPr="00D47D9E">
        <w:rPr>
          <w:rFonts w:cs="Arial"/>
          <w:vertAlign w:val="superscript"/>
          <w:lang w:eastAsia="zh-CN"/>
        </w:rPr>
        <w:t>−ΔΔ</w:t>
      </w:r>
      <w:r w:rsidRPr="00D47D9E">
        <w:rPr>
          <w:rFonts w:cs="Arial"/>
          <w:lang w:eastAsia="zh-CN"/>
        </w:rPr>
        <w:t>CT Method</w:t>
      </w:r>
      <w:r w:rsidRPr="00D47D9E">
        <w:rPr>
          <w:rFonts w:cs="Arial"/>
          <w:lang w:val="en-GB" w:eastAsia="zh-CN"/>
        </w:rPr>
        <w:t>,</w:t>
      </w:r>
      <w:r w:rsidRPr="00D47D9E">
        <w:rPr>
          <w:rFonts w:cs="Arial"/>
          <w:lang w:val="en-GB"/>
        </w:rPr>
        <w:t xml:space="preserve"> which determines the relative quantification of a target gene in comparison to the GAPDH gene.      </w:t>
      </w:r>
    </w:p>
    <w:p w14:paraId="00EC7C98" w14:textId="77777777" w:rsidR="00884A33" w:rsidRPr="00D47D9E" w:rsidRDefault="00884A33" w:rsidP="00884A33">
      <w:pPr>
        <w:jc w:val="both"/>
        <w:rPr>
          <w:rFonts w:cs="Arial"/>
          <w:b/>
          <w:lang w:eastAsia="zh-CN"/>
        </w:rPr>
      </w:pPr>
      <w:r w:rsidRPr="00D47D9E">
        <w:rPr>
          <w:rFonts w:cs="Arial"/>
          <w:b/>
          <w:lang w:eastAsia="zh-CN"/>
        </w:rPr>
        <w:t>Wester</w:t>
      </w:r>
      <w:r>
        <w:rPr>
          <w:rFonts w:cs="Arial"/>
          <w:b/>
          <w:lang w:eastAsia="zh-CN"/>
        </w:rPr>
        <w:t>n b</w:t>
      </w:r>
      <w:r w:rsidRPr="00D47D9E">
        <w:rPr>
          <w:rFonts w:cs="Arial"/>
          <w:b/>
          <w:lang w:eastAsia="zh-CN"/>
        </w:rPr>
        <w:t xml:space="preserve">lot </w:t>
      </w:r>
    </w:p>
    <w:p w14:paraId="0B748C64" w14:textId="77777777" w:rsidR="00884A33" w:rsidRPr="00D47D9E" w:rsidRDefault="00884A33" w:rsidP="00884A33">
      <w:pPr>
        <w:jc w:val="both"/>
        <w:rPr>
          <w:rFonts w:cs="Arial"/>
          <w:b/>
          <w:lang w:eastAsia="zh-CN"/>
        </w:rPr>
      </w:pPr>
      <w:r w:rsidRPr="00D47D9E">
        <w:rPr>
          <w:rFonts w:cs="Arial"/>
        </w:rPr>
        <w:t xml:space="preserve">The protein samples (1µg/µl) were separated </w:t>
      </w:r>
      <w:proofErr w:type="spellStart"/>
      <w:r w:rsidRPr="00D47D9E">
        <w:rPr>
          <w:rFonts w:cs="Arial"/>
        </w:rPr>
        <w:t>electrophoretically</w:t>
      </w:r>
      <w:proofErr w:type="spellEnd"/>
      <w:r w:rsidRPr="00D47D9E">
        <w:rPr>
          <w:rFonts w:cs="Arial"/>
        </w:rPr>
        <w:t xml:space="preserve"> on pre-cast 4-12% polyacrylamide gel (Invitrogen) in MOPS running buffer at 120 V for approximately 1.5 h</w:t>
      </w:r>
      <w:r w:rsidRPr="00D47D9E">
        <w:rPr>
          <w:rFonts w:cs="Arial"/>
          <w:lang w:eastAsia="zh-CN"/>
        </w:rPr>
        <w:t>ours</w:t>
      </w:r>
      <w:r w:rsidRPr="00D47D9E">
        <w:rPr>
          <w:rFonts w:cs="Arial"/>
        </w:rPr>
        <w:t>. For immunological detection,</w:t>
      </w:r>
      <w:r w:rsidRPr="00D47D9E">
        <w:rPr>
          <w:rFonts w:cs="Arial"/>
          <w:lang w:eastAsia="zh-CN"/>
        </w:rPr>
        <w:t xml:space="preserve"> </w:t>
      </w:r>
      <w:r w:rsidRPr="00D47D9E">
        <w:rPr>
          <w:rFonts w:cs="Arial"/>
        </w:rPr>
        <w:t>the separated proteins in the gel were transferred to a nitrocellulose membrane</w:t>
      </w:r>
      <w:r w:rsidRPr="00D47D9E">
        <w:rPr>
          <w:rFonts w:cs="Arial"/>
          <w:lang w:eastAsia="zh-CN"/>
        </w:rPr>
        <w:t>.</w:t>
      </w:r>
      <w:r w:rsidRPr="00D47D9E">
        <w:rPr>
          <w:rFonts w:eastAsia="SimSun" w:cs="Arial"/>
        </w:rPr>
        <w:t xml:space="preserve"> </w:t>
      </w:r>
      <w:r w:rsidRPr="00D47D9E">
        <w:rPr>
          <w:rFonts w:cs="Arial"/>
        </w:rPr>
        <w:t>Successful protein transfer was confirmed by Ponceau Red staining.</w:t>
      </w:r>
      <w:r w:rsidRPr="00D47D9E">
        <w:rPr>
          <w:rFonts w:cs="Arial"/>
          <w:lang w:eastAsia="zh-CN"/>
        </w:rPr>
        <w:t xml:space="preserve"> </w:t>
      </w:r>
      <w:r w:rsidRPr="00D47D9E">
        <w:rPr>
          <w:rFonts w:cs="Arial"/>
        </w:rPr>
        <w:t>For immunological detection,</w:t>
      </w:r>
      <w:r w:rsidRPr="00D47D9E">
        <w:rPr>
          <w:rFonts w:cs="Arial"/>
          <w:lang w:eastAsia="zh-CN"/>
        </w:rPr>
        <w:t xml:space="preserve"> </w:t>
      </w:r>
      <w:r w:rsidRPr="00D47D9E">
        <w:rPr>
          <w:rFonts w:cs="Arial"/>
        </w:rPr>
        <w:t xml:space="preserve">the non-specific binding sites were blocked for 1 hour in 5% non-fat dry milk diluted in </w:t>
      </w:r>
      <w:r w:rsidRPr="00D47D9E">
        <w:rPr>
          <w:rFonts w:cs="Arial"/>
          <w:lang w:eastAsia="zh-CN"/>
        </w:rPr>
        <w:t>T</w:t>
      </w:r>
      <w:r w:rsidRPr="00D47D9E">
        <w:rPr>
          <w:rFonts w:cs="Arial"/>
        </w:rPr>
        <w:t>BS-Tween (</w:t>
      </w:r>
      <w:r w:rsidRPr="00D47D9E">
        <w:rPr>
          <w:rFonts w:cs="Arial"/>
          <w:lang w:eastAsia="zh-CN"/>
        </w:rPr>
        <w:t>T</w:t>
      </w:r>
      <w:r w:rsidRPr="00D47D9E">
        <w:rPr>
          <w:rFonts w:cs="Arial"/>
        </w:rPr>
        <w:t>BST)</w:t>
      </w:r>
      <w:r w:rsidRPr="00D47D9E">
        <w:rPr>
          <w:rFonts w:cs="Arial"/>
          <w:lang w:eastAsia="zh-CN"/>
        </w:rPr>
        <w:t xml:space="preserve">. </w:t>
      </w:r>
      <w:r w:rsidRPr="00D47D9E">
        <w:rPr>
          <w:rFonts w:cs="Arial"/>
        </w:rPr>
        <w:t xml:space="preserve">The membrane was incubated overnight at 4°C in </w:t>
      </w:r>
      <w:r w:rsidRPr="00D47D9E">
        <w:rPr>
          <w:rFonts w:cs="Arial"/>
          <w:lang w:eastAsia="zh-CN"/>
        </w:rPr>
        <w:t>T</w:t>
      </w:r>
      <w:r w:rsidRPr="00D47D9E">
        <w:rPr>
          <w:rFonts w:cs="Arial"/>
        </w:rPr>
        <w:t>BST with primary antibody at optimized dilution.</w:t>
      </w:r>
      <w:r w:rsidRPr="00D47D9E">
        <w:rPr>
          <w:rFonts w:cs="Arial"/>
          <w:lang w:eastAsia="zh-CN"/>
        </w:rPr>
        <w:t xml:space="preserve"> </w:t>
      </w:r>
      <w:r w:rsidRPr="00D47D9E">
        <w:rPr>
          <w:rFonts w:cs="Arial"/>
        </w:rPr>
        <w:t xml:space="preserve">After being washed the membrane was incubated with the </w:t>
      </w:r>
      <w:r w:rsidRPr="00D47D9E">
        <w:rPr>
          <w:rFonts w:cs="Arial"/>
          <w:lang w:eastAsia="zh-CN"/>
        </w:rPr>
        <w:t xml:space="preserve">horseradish peroxidase (HRP)-conjugated </w:t>
      </w:r>
      <w:r w:rsidRPr="00D47D9E">
        <w:rPr>
          <w:rFonts w:cs="Arial"/>
        </w:rPr>
        <w:lastRenderedPageBreak/>
        <w:t>secondary antibody diluted 1:</w:t>
      </w:r>
      <w:r w:rsidRPr="00D47D9E">
        <w:rPr>
          <w:rFonts w:cs="Arial"/>
          <w:lang w:eastAsia="zh-CN"/>
        </w:rPr>
        <w:t>5</w:t>
      </w:r>
      <w:r w:rsidRPr="00D47D9E">
        <w:rPr>
          <w:rFonts w:cs="Arial"/>
        </w:rPr>
        <w:t xml:space="preserve">000 in 5% non-fat dry milk diluted in </w:t>
      </w:r>
      <w:r w:rsidRPr="00D47D9E">
        <w:rPr>
          <w:rFonts w:cs="Arial"/>
          <w:lang w:eastAsia="zh-CN"/>
        </w:rPr>
        <w:t>T</w:t>
      </w:r>
      <w:r w:rsidRPr="00D47D9E">
        <w:rPr>
          <w:rFonts w:cs="Arial"/>
        </w:rPr>
        <w:t>BST for 1 hour</w:t>
      </w:r>
      <w:r w:rsidRPr="00D47D9E">
        <w:rPr>
          <w:rFonts w:cs="Arial"/>
          <w:lang w:eastAsia="zh-CN"/>
        </w:rPr>
        <w:t xml:space="preserve"> </w:t>
      </w:r>
      <w:r w:rsidRPr="00D47D9E">
        <w:rPr>
          <w:rFonts w:cs="Arial"/>
        </w:rPr>
        <w:t xml:space="preserve">at room temperature. After incubation, the membrane was washed in </w:t>
      </w:r>
      <w:r w:rsidRPr="00D47D9E">
        <w:rPr>
          <w:rFonts w:cs="Arial"/>
          <w:lang w:eastAsia="zh-CN"/>
        </w:rPr>
        <w:t>T</w:t>
      </w:r>
      <w:r w:rsidRPr="00D47D9E">
        <w:rPr>
          <w:rFonts w:cs="Arial"/>
        </w:rPr>
        <w:t xml:space="preserve">BST </w:t>
      </w:r>
      <w:r w:rsidRPr="00D47D9E">
        <w:rPr>
          <w:rFonts w:cs="Arial"/>
          <w:lang w:eastAsia="zh-CN"/>
        </w:rPr>
        <w:t xml:space="preserve">to wash away the non-bound antibody </w:t>
      </w:r>
      <w:r w:rsidRPr="00D47D9E">
        <w:rPr>
          <w:rFonts w:cs="Arial"/>
        </w:rPr>
        <w:t xml:space="preserve">and then incubated in ECL Substrate (Pierce) for 5 min. The membrane was exposed to </w:t>
      </w:r>
      <w:r w:rsidRPr="00D47D9E">
        <w:rPr>
          <w:rFonts w:cs="Arial"/>
          <w:lang w:eastAsia="zh-CN"/>
        </w:rPr>
        <w:t>a LAS mini 4000 developing machine (Fuji) until specific signals were detectable. In this study, the following antibodies were used: IL-1β (Abcam, AB9722), Caspase-1(</w:t>
      </w:r>
      <w:proofErr w:type="spellStart"/>
      <w:r w:rsidRPr="00D47D9E">
        <w:rPr>
          <w:rFonts w:cs="Arial"/>
          <w:lang w:eastAsia="zh-CN"/>
        </w:rPr>
        <w:t>Canta</w:t>
      </w:r>
      <w:proofErr w:type="spellEnd"/>
      <w:r w:rsidRPr="00D47D9E">
        <w:rPr>
          <w:rFonts w:cs="Arial"/>
          <w:lang w:eastAsia="zh-CN"/>
        </w:rPr>
        <w:t xml:space="preserve"> Cruz, SC-514),</w:t>
      </w:r>
      <w:r w:rsidRPr="00D47D9E">
        <w:rPr>
          <w:rFonts w:cs="Arial"/>
        </w:rPr>
        <w:t>Caspase-8 (Enzo life sciences, ALX-804-447), Cleaved caspase-8 (Cell Signaling, D5B2), Cleaved caspase-3 (Cell Signaling, #9661), Cleav</w:t>
      </w:r>
      <w:r>
        <w:rPr>
          <w:rFonts w:cs="Arial"/>
        </w:rPr>
        <w:t>ed caspase-9 (Cell Signaling, #</w:t>
      </w:r>
      <w:r w:rsidRPr="00D47D9E">
        <w:rPr>
          <w:rFonts w:cs="Arial"/>
        </w:rPr>
        <w:t>9509S), Collagen I</w:t>
      </w:r>
      <w:r w:rsidRPr="00D47D9E">
        <w:rPr>
          <w:rFonts w:cs="Arial"/>
        </w:rPr>
        <w:sym w:font="Symbol" w:char="F061"/>
      </w:r>
      <w:r w:rsidRPr="00D47D9E">
        <w:rPr>
          <w:rFonts w:cs="Arial"/>
        </w:rPr>
        <w:t>1 (</w:t>
      </w:r>
      <w:proofErr w:type="spellStart"/>
      <w:r w:rsidRPr="00D47D9E">
        <w:rPr>
          <w:rFonts w:cs="Arial"/>
        </w:rPr>
        <w:t>BioTrend</w:t>
      </w:r>
      <w:proofErr w:type="spellEnd"/>
      <w:r w:rsidRPr="00D47D9E">
        <w:rPr>
          <w:rFonts w:cs="Arial"/>
        </w:rPr>
        <w:t>, BT-5014-10), RIP-1 (BD, 610459), RIP3 (</w:t>
      </w:r>
      <w:proofErr w:type="spellStart"/>
      <w:r w:rsidRPr="00D47D9E">
        <w:rPr>
          <w:rFonts w:cs="Arial"/>
        </w:rPr>
        <w:t>Prosci</w:t>
      </w:r>
      <w:proofErr w:type="spellEnd"/>
      <w:r w:rsidRPr="00D47D9E">
        <w:rPr>
          <w:rFonts w:cs="Arial"/>
        </w:rPr>
        <w:t xml:space="preserve">, 2283), NLRP3 (Abcam, Ab4207; </w:t>
      </w:r>
      <w:proofErr w:type="spellStart"/>
      <w:r w:rsidRPr="00D47D9E">
        <w:rPr>
          <w:rFonts w:cs="Arial"/>
        </w:rPr>
        <w:t>Adipo</w:t>
      </w:r>
      <w:proofErr w:type="spellEnd"/>
      <w:r w:rsidRPr="00D47D9E">
        <w:rPr>
          <w:rFonts w:cs="Arial"/>
        </w:rPr>
        <w:t xml:space="preserve"> Gen, AG-20B-0014), </w:t>
      </w:r>
      <w:r w:rsidRPr="00D47D9E">
        <w:rPr>
          <w:rFonts w:eastAsiaTheme="minorEastAsia" w:cs="Arial"/>
          <w:lang w:eastAsia="zh-CN"/>
        </w:rPr>
        <w:t>P-MLKL (</w:t>
      </w:r>
      <w:r w:rsidRPr="00D47D9E">
        <w:rPr>
          <w:rFonts w:cs="Arial"/>
        </w:rPr>
        <w:t>Abcam, AB</w:t>
      </w:r>
      <w:r w:rsidRPr="00D47D9E">
        <w:rPr>
          <w:rFonts w:eastAsiaTheme="minorEastAsia" w:cs="Arial"/>
          <w:lang w:eastAsia="zh-CN"/>
        </w:rPr>
        <w:t xml:space="preserve">196436), </w:t>
      </w:r>
      <w:r w:rsidRPr="00D47D9E">
        <w:rPr>
          <w:rFonts w:cs="Arial"/>
        </w:rPr>
        <w:t xml:space="preserve">P-P65 (Cell Signaling, 3033S), ZO-1 (Abcam, Ab96587), </w:t>
      </w:r>
      <w:r w:rsidRPr="00D47D9E">
        <w:rPr>
          <w:rFonts w:cs="Arial"/>
          <w:lang w:eastAsia="zh-CN"/>
        </w:rPr>
        <w:t>GAPDH (</w:t>
      </w:r>
      <w:proofErr w:type="spellStart"/>
      <w:r w:rsidRPr="00D47D9E">
        <w:rPr>
          <w:rFonts w:cs="Arial"/>
          <w:lang w:eastAsia="zh-CN"/>
        </w:rPr>
        <w:t>Bio-RAD</w:t>
      </w:r>
      <w:proofErr w:type="spellEnd"/>
      <w:r w:rsidRPr="00D47D9E">
        <w:rPr>
          <w:rFonts w:cs="Arial"/>
          <w:lang w:eastAsia="zh-CN"/>
        </w:rPr>
        <w:t>, MCA4739), β-actin (Sigma, A2066).</w:t>
      </w:r>
    </w:p>
    <w:p w14:paraId="113AA283" w14:textId="77777777" w:rsidR="00884A33" w:rsidRPr="007939CE" w:rsidRDefault="00884A33" w:rsidP="00884A33">
      <w:pPr>
        <w:jc w:val="both"/>
        <w:rPr>
          <w:rFonts w:cs="Arial"/>
          <w:b/>
          <w:lang w:eastAsia="zh-CN"/>
        </w:rPr>
      </w:pPr>
      <w:r>
        <w:rPr>
          <w:rFonts w:cs="Arial"/>
          <w:b/>
          <w:lang w:eastAsia="zh-CN"/>
        </w:rPr>
        <w:t>Caspase activity a</w:t>
      </w:r>
      <w:r w:rsidRPr="007939CE">
        <w:rPr>
          <w:rFonts w:cs="Arial"/>
          <w:b/>
          <w:lang w:eastAsia="zh-CN"/>
        </w:rPr>
        <w:t>ssay</w:t>
      </w:r>
    </w:p>
    <w:p w14:paraId="117933D4" w14:textId="77777777" w:rsidR="00884A33" w:rsidRPr="00D47D9E" w:rsidRDefault="00884A33" w:rsidP="00884A33">
      <w:pPr>
        <w:jc w:val="both"/>
        <w:rPr>
          <w:rFonts w:eastAsiaTheme="minorEastAsia" w:cs="Arial"/>
          <w:lang w:eastAsia="zh-CN"/>
        </w:rPr>
      </w:pPr>
      <w:r w:rsidRPr="00D47D9E">
        <w:rPr>
          <w:rFonts w:cs="Arial"/>
          <w:lang w:eastAsia="zh-CN"/>
        </w:rPr>
        <w:t xml:space="preserve">Caspase-3 and caspase-8 are key enzymes for induction of the apoptotic cascade which participate in the cleavage of protein substrates. </w:t>
      </w:r>
      <w:r w:rsidRPr="00D47D9E">
        <w:rPr>
          <w:rFonts w:eastAsiaTheme="minorEastAsia" w:cs="Arial"/>
          <w:lang w:eastAsia="zh-CN"/>
        </w:rPr>
        <w:t>According to the manufacturer’s protocol,</w:t>
      </w:r>
      <w:r w:rsidRPr="00D47D9E">
        <w:rPr>
          <w:rFonts w:cs="Arial"/>
        </w:rPr>
        <w:t xml:space="preserve"> </w:t>
      </w:r>
      <w:r w:rsidRPr="00D47D9E">
        <w:rPr>
          <w:rFonts w:eastAsiaTheme="minorEastAsia" w:cs="Arial"/>
          <w:lang w:eastAsia="zh-CN"/>
        </w:rPr>
        <w:t xml:space="preserve">per reaction tube 487.5 µl </w:t>
      </w:r>
      <w:proofErr w:type="spellStart"/>
      <w:r w:rsidRPr="00D47D9E">
        <w:rPr>
          <w:rFonts w:eastAsiaTheme="minorEastAsia" w:cs="Arial"/>
          <w:lang w:eastAsia="zh-CN"/>
        </w:rPr>
        <w:t>mastermix</w:t>
      </w:r>
      <w:proofErr w:type="spellEnd"/>
      <w:r w:rsidRPr="00D47D9E">
        <w:rPr>
          <w:rFonts w:eastAsiaTheme="minorEastAsia" w:cs="Arial"/>
          <w:lang w:eastAsia="zh-CN"/>
        </w:rPr>
        <w:t xml:space="preserve"> and 12.5 µl protein were mixed, followed by pipetting 200 µl of the mixture in duplicate into a 96-well-cellstar plate and incubating at 37°C. </w:t>
      </w:r>
      <w:proofErr w:type="spellStart"/>
      <w:r w:rsidRPr="00D47D9E">
        <w:rPr>
          <w:rFonts w:eastAsiaTheme="minorEastAsia" w:cs="Arial"/>
          <w:lang w:eastAsia="zh-CN"/>
        </w:rPr>
        <w:t>Mastermix</w:t>
      </w:r>
      <w:proofErr w:type="spellEnd"/>
      <w:r w:rsidRPr="00D47D9E">
        <w:rPr>
          <w:rFonts w:eastAsiaTheme="minorEastAsia" w:cs="Arial"/>
          <w:lang w:eastAsia="zh-CN"/>
        </w:rPr>
        <w:t xml:space="preserve"> with lysis buffer was taken as blank. AFC-r</w:t>
      </w:r>
      <w:r>
        <w:rPr>
          <w:rFonts w:eastAsiaTheme="minorEastAsia" w:cs="Arial"/>
          <w:lang w:eastAsia="zh-CN"/>
        </w:rPr>
        <w:t>elease was measured in 30 min</w:t>
      </w:r>
      <w:r w:rsidRPr="00D47D9E">
        <w:rPr>
          <w:rFonts w:eastAsiaTheme="minorEastAsia" w:cs="Arial"/>
          <w:lang w:eastAsia="zh-CN"/>
        </w:rPr>
        <w:t xml:space="preserve"> intervals and stopped after 3 hours. </w:t>
      </w:r>
      <w:r w:rsidRPr="00D47D9E">
        <w:rPr>
          <w:rFonts w:cs="Arial"/>
          <w:lang w:eastAsia="zh-CN"/>
        </w:rPr>
        <w:t xml:space="preserve">Caspase-3 substrate was </w:t>
      </w:r>
      <w:r w:rsidRPr="00D47D9E">
        <w:rPr>
          <w:rFonts w:cs="Arial"/>
          <w:bCs/>
        </w:rPr>
        <w:t xml:space="preserve">Ac-DEVD-AFC </w:t>
      </w:r>
      <w:r w:rsidRPr="00D47D9E">
        <w:rPr>
          <w:rFonts w:cs="Arial"/>
          <w:lang w:eastAsia="zh-CN"/>
        </w:rPr>
        <w:t>(</w:t>
      </w:r>
      <w:r w:rsidRPr="00D47D9E">
        <w:rPr>
          <w:rFonts w:cs="Arial"/>
          <w:bCs/>
          <w:shd w:val="clear" w:color="auto" w:fill="FFFFFF"/>
        </w:rPr>
        <w:t xml:space="preserve">Enzo life sciences, ALX-260-032-M005), and </w:t>
      </w:r>
      <w:r w:rsidRPr="00D47D9E">
        <w:rPr>
          <w:rFonts w:eastAsia="Times New Roman" w:cs="Arial"/>
          <w:bCs/>
          <w:lang w:eastAsia="zh-CN"/>
        </w:rPr>
        <w:t xml:space="preserve">caspase-8 substrate was </w:t>
      </w:r>
      <w:r w:rsidRPr="00D47D9E">
        <w:rPr>
          <w:rFonts w:cs="Arial"/>
          <w:bCs/>
          <w:shd w:val="clear" w:color="auto" w:fill="FFFFFF"/>
        </w:rPr>
        <w:t>Ac</w:t>
      </w:r>
      <w:r w:rsidRPr="00D47D9E">
        <w:rPr>
          <w:rFonts w:cs="Arial"/>
          <w:bCs/>
        </w:rPr>
        <w:t>-LETD-AFC (</w:t>
      </w:r>
      <w:r w:rsidRPr="00D47D9E">
        <w:rPr>
          <w:rFonts w:cs="Arial"/>
          <w:bCs/>
          <w:shd w:val="clear" w:color="auto" w:fill="FFFFFF"/>
        </w:rPr>
        <w:t>Enzo life sciences,</w:t>
      </w:r>
      <w:r w:rsidRPr="00D47D9E">
        <w:rPr>
          <w:rFonts w:eastAsia="Times New Roman" w:cs="Arial"/>
          <w:bCs/>
          <w:lang w:eastAsia="zh-CN"/>
        </w:rPr>
        <w:t xml:space="preserve"> ALX-260-118-M005</w:t>
      </w:r>
      <w:r w:rsidRPr="00D47D9E">
        <w:rPr>
          <w:rFonts w:cs="Arial"/>
          <w:bCs/>
        </w:rPr>
        <w:t xml:space="preserve">). </w:t>
      </w:r>
      <w:r w:rsidRPr="00D47D9E">
        <w:rPr>
          <w:rFonts w:cs="Arial"/>
          <w:lang w:eastAsia="zh-CN"/>
        </w:rPr>
        <w:t xml:space="preserve">Measurements were performed with a </w:t>
      </w:r>
      <w:proofErr w:type="spellStart"/>
      <w:r w:rsidRPr="00D47D9E">
        <w:rPr>
          <w:rFonts w:cs="Arial"/>
          <w:lang w:eastAsia="zh-CN"/>
        </w:rPr>
        <w:t>spectrofluorometer</w:t>
      </w:r>
      <w:proofErr w:type="spellEnd"/>
      <w:r w:rsidRPr="00D47D9E">
        <w:rPr>
          <w:rFonts w:cs="Arial"/>
          <w:lang w:eastAsia="zh-CN"/>
        </w:rPr>
        <w:t xml:space="preserve"> at 400 nm excitation and 505 nm emission wavelengths.</w:t>
      </w:r>
    </w:p>
    <w:p w14:paraId="71C5F8A2" w14:textId="77777777" w:rsidR="00884A33" w:rsidRPr="00D47D9E" w:rsidRDefault="00884A33" w:rsidP="00884A33">
      <w:pPr>
        <w:jc w:val="both"/>
        <w:rPr>
          <w:rFonts w:cs="Arial"/>
          <w:b/>
        </w:rPr>
      </w:pPr>
      <w:r>
        <w:rPr>
          <w:rFonts w:cs="Arial"/>
          <w:b/>
        </w:rPr>
        <w:t>Immunofluorescence s</w:t>
      </w:r>
      <w:r w:rsidRPr="00D47D9E">
        <w:rPr>
          <w:rFonts w:cs="Arial"/>
          <w:b/>
        </w:rPr>
        <w:t>taining</w:t>
      </w:r>
    </w:p>
    <w:p w14:paraId="52E05247" w14:textId="77777777" w:rsidR="00884A33" w:rsidRPr="00D47D9E" w:rsidRDefault="00884A33" w:rsidP="00884A33">
      <w:pPr>
        <w:jc w:val="both"/>
        <w:rPr>
          <w:rFonts w:cs="Arial"/>
          <w:lang w:eastAsia="zh-CN"/>
        </w:rPr>
      </w:pPr>
      <w:r w:rsidRPr="00D47D9E">
        <w:rPr>
          <w:rFonts w:cs="Arial"/>
        </w:rPr>
        <w:t xml:space="preserve">ZO-1 immunofluorescence staining was performed on cryopreserved 5 </w:t>
      </w:r>
      <w:r w:rsidRPr="00D47D9E">
        <w:rPr>
          <w:rFonts w:cs="Arial"/>
          <w:lang w:eastAsia="zh-CN"/>
        </w:rPr>
        <w:t xml:space="preserve">µm intestine sections </w:t>
      </w:r>
      <w:r w:rsidRPr="00D47D9E">
        <w:rPr>
          <w:rFonts w:cs="Arial"/>
        </w:rPr>
        <w:t xml:space="preserve">of mice. The sections were dried in air </w:t>
      </w:r>
      <w:r w:rsidRPr="00D47D9E">
        <w:rPr>
          <w:rFonts w:cs="Arial"/>
          <w:lang w:eastAsia="zh-CN"/>
        </w:rPr>
        <w:t>for 15-20</w:t>
      </w:r>
      <w:r w:rsidRPr="00D47D9E">
        <w:rPr>
          <w:rFonts w:cs="Arial"/>
        </w:rPr>
        <w:t xml:space="preserve"> minutes, fixed with 4% PFA for 8-10 min</w:t>
      </w:r>
      <w:r w:rsidRPr="00D47D9E">
        <w:rPr>
          <w:rFonts w:cs="Arial"/>
          <w:lang w:eastAsia="zh-CN"/>
        </w:rPr>
        <w:t xml:space="preserve"> in room temperature (RT) </w:t>
      </w:r>
      <w:r w:rsidRPr="00D47D9E">
        <w:rPr>
          <w:rFonts w:cs="Arial"/>
        </w:rPr>
        <w:t>and washed with PBS for 3 x 5 min.</w:t>
      </w:r>
      <w:r w:rsidRPr="00D47D9E">
        <w:rPr>
          <w:rFonts w:cs="Arial"/>
          <w:lang w:eastAsia="zh-CN"/>
        </w:rPr>
        <w:t xml:space="preserve"> </w:t>
      </w:r>
      <w:r w:rsidRPr="00D47D9E">
        <w:rPr>
          <w:rFonts w:cs="Arial"/>
        </w:rPr>
        <w:t xml:space="preserve">PBS containing 5% goat serum was used for blocking for 30 min followed by an incubation with ZO-1 antibody (Abcam, Ab96587) in blocking solution at optimized dilutions at 4°C overnight in a humidified chamber. Next day slides were washed with PBS for 3 x 5 min and incubated with Alexa Fluor 488 anti-rabbit (Invitrogen, A-11008) in blocking buffer for one hour at </w:t>
      </w:r>
      <w:r w:rsidRPr="00D47D9E">
        <w:rPr>
          <w:rFonts w:cs="Arial"/>
        </w:rPr>
        <w:lastRenderedPageBreak/>
        <w:t>RT in humidified chamber.</w:t>
      </w:r>
      <w:r w:rsidRPr="00D47D9E">
        <w:rPr>
          <w:rFonts w:cs="Arial"/>
          <w:lang w:eastAsia="zh-CN"/>
        </w:rPr>
        <w:t xml:space="preserve"> </w:t>
      </w:r>
      <w:r w:rsidRPr="00D47D9E">
        <w:rPr>
          <w:rFonts w:cs="Arial"/>
        </w:rPr>
        <w:t>Slides were washed with PBS for 3 x 5 min. Nuclei were counterstained with DAPI mounting medium (</w:t>
      </w:r>
      <w:proofErr w:type="spellStart"/>
      <w:r w:rsidRPr="00D47D9E">
        <w:rPr>
          <w:rFonts w:cs="Arial"/>
        </w:rPr>
        <w:t>Dako</w:t>
      </w:r>
      <w:proofErr w:type="spellEnd"/>
      <w:r w:rsidRPr="00D47D9E">
        <w:rPr>
          <w:rFonts w:cs="Arial"/>
        </w:rPr>
        <w:t>)</w:t>
      </w:r>
      <w:r w:rsidRPr="00D47D9E">
        <w:rPr>
          <w:rFonts w:cs="Arial"/>
          <w:lang w:eastAsia="zh-CN"/>
        </w:rPr>
        <w:t>.</w:t>
      </w:r>
    </w:p>
    <w:p w14:paraId="02C153ED" w14:textId="77777777" w:rsidR="00884A33" w:rsidRPr="00D47D9E" w:rsidRDefault="00884A33" w:rsidP="00884A33">
      <w:pPr>
        <w:ind w:firstLine="192"/>
        <w:jc w:val="both"/>
        <w:rPr>
          <w:rFonts w:cs="Arial"/>
          <w:lang w:eastAsia="zh-CN"/>
        </w:rPr>
      </w:pPr>
      <w:r w:rsidRPr="00D47D9E">
        <w:rPr>
          <w:rFonts w:cs="Arial"/>
          <w:lang w:eastAsia="zh-CN"/>
        </w:rPr>
        <w:t xml:space="preserve">The terminal deoxynucleotidyl transferase-mediated </w:t>
      </w:r>
      <w:proofErr w:type="spellStart"/>
      <w:r w:rsidRPr="00D47D9E">
        <w:rPr>
          <w:rFonts w:cs="Arial"/>
          <w:lang w:eastAsia="zh-CN"/>
        </w:rPr>
        <w:t>deoxyuridine</w:t>
      </w:r>
      <w:proofErr w:type="spellEnd"/>
      <w:r w:rsidRPr="00D47D9E">
        <w:rPr>
          <w:rFonts w:cs="Arial"/>
          <w:lang w:eastAsia="zh-CN"/>
        </w:rPr>
        <w:t xml:space="preserve"> triphosphate nick-end labeling (TUNEL) assay (Roche) was performed on </w:t>
      </w:r>
      <w:r w:rsidRPr="00D47D9E">
        <w:rPr>
          <w:rFonts w:cs="Arial"/>
        </w:rPr>
        <w:t xml:space="preserve">liver </w:t>
      </w:r>
      <w:proofErr w:type="spellStart"/>
      <w:r w:rsidRPr="00D47D9E">
        <w:rPr>
          <w:rFonts w:cs="Arial"/>
        </w:rPr>
        <w:t>cryosections</w:t>
      </w:r>
      <w:proofErr w:type="spellEnd"/>
      <w:r w:rsidRPr="00D47D9E">
        <w:rPr>
          <w:rFonts w:cs="Arial"/>
        </w:rPr>
        <w:t xml:space="preserve">. First liver </w:t>
      </w:r>
      <w:proofErr w:type="spellStart"/>
      <w:r w:rsidRPr="00D47D9E">
        <w:rPr>
          <w:rFonts w:cs="Arial"/>
        </w:rPr>
        <w:t>cryosections</w:t>
      </w:r>
      <w:proofErr w:type="spellEnd"/>
      <w:r w:rsidRPr="00D47D9E">
        <w:rPr>
          <w:rFonts w:cs="Arial"/>
        </w:rPr>
        <w:t xml:space="preserve"> were fixed with 4% PFA for 45 min and rehydrated with PBS for 3 x 10 min. After treating with 3% H</w:t>
      </w:r>
      <w:r w:rsidRPr="00D47D9E">
        <w:rPr>
          <w:rFonts w:cs="Arial"/>
          <w:vertAlign w:val="subscript"/>
        </w:rPr>
        <w:t>2</w:t>
      </w:r>
      <w:r w:rsidRPr="00D47D9E">
        <w:rPr>
          <w:rFonts w:cs="Arial"/>
        </w:rPr>
        <w:t>O</w:t>
      </w:r>
      <w:r w:rsidRPr="00D47D9E">
        <w:rPr>
          <w:rFonts w:cs="Arial"/>
          <w:vertAlign w:val="subscript"/>
        </w:rPr>
        <w:t>2</w:t>
      </w:r>
      <w:r w:rsidRPr="00D47D9E">
        <w:rPr>
          <w:rFonts w:cs="Arial"/>
        </w:rPr>
        <w:t xml:space="preserve"> in methanol for 10 min,</w:t>
      </w:r>
      <w:r w:rsidRPr="00D47D9E">
        <w:rPr>
          <w:rFonts w:cs="Arial"/>
          <w:lang w:eastAsia="zh-CN"/>
        </w:rPr>
        <w:t xml:space="preserve"> </w:t>
      </w:r>
      <w:r w:rsidRPr="00D47D9E">
        <w:rPr>
          <w:rFonts w:cs="Arial"/>
        </w:rPr>
        <w:t xml:space="preserve">the sections were permeabilized with 0.1% Triton and 150 </w:t>
      </w:r>
      <w:proofErr w:type="spellStart"/>
      <w:r w:rsidRPr="00D47D9E">
        <w:rPr>
          <w:rFonts w:cs="Arial"/>
        </w:rPr>
        <w:t>mM</w:t>
      </w:r>
      <w:proofErr w:type="spellEnd"/>
      <w:r w:rsidRPr="00D47D9E">
        <w:rPr>
          <w:rFonts w:cs="Arial"/>
        </w:rPr>
        <w:t xml:space="preserve"> Na-citrate for 2 min at 4°C.</w:t>
      </w:r>
      <w:r w:rsidRPr="00D47D9E">
        <w:rPr>
          <w:rFonts w:cs="Arial"/>
          <w:lang w:eastAsia="zh-CN"/>
        </w:rPr>
        <w:t xml:space="preserve"> </w:t>
      </w:r>
      <w:r w:rsidRPr="00D47D9E">
        <w:rPr>
          <w:rFonts w:cs="Arial"/>
        </w:rPr>
        <w:t xml:space="preserve">Slides were washed with PBS and stained with TUNEL mix (1 </w:t>
      </w:r>
      <w:proofErr w:type="spellStart"/>
      <w:r w:rsidRPr="00D47D9E">
        <w:rPr>
          <w:rFonts w:cs="Arial"/>
        </w:rPr>
        <w:t>μl</w:t>
      </w:r>
      <w:proofErr w:type="spellEnd"/>
      <w:r w:rsidRPr="00D47D9E">
        <w:rPr>
          <w:rFonts w:cs="Arial"/>
        </w:rPr>
        <w:t xml:space="preserve"> enzyme, 9 </w:t>
      </w:r>
      <w:proofErr w:type="spellStart"/>
      <w:r w:rsidRPr="00D47D9E">
        <w:rPr>
          <w:rFonts w:cs="Arial"/>
        </w:rPr>
        <w:t>μl</w:t>
      </w:r>
      <w:proofErr w:type="spellEnd"/>
      <w:r w:rsidRPr="00D47D9E">
        <w:rPr>
          <w:rFonts w:cs="Arial"/>
        </w:rPr>
        <w:t xml:space="preserve"> TUNEL dilution buffer, 90 </w:t>
      </w:r>
      <w:proofErr w:type="spellStart"/>
      <w:r w:rsidRPr="00D47D9E">
        <w:rPr>
          <w:rFonts w:cs="Arial"/>
        </w:rPr>
        <w:t>μl</w:t>
      </w:r>
      <w:proofErr w:type="spellEnd"/>
      <w:r w:rsidRPr="00D47D9E">
        <w:rPr>
          <w:rFonts w:cs="Arial"/>
        </w:rPr>
        <w:t xml:space="preserve"> buffer) in a humidified chamber overnight at 4°C.</w:t>
      </w:r>
      <w:r w:rsidRPr="00D47D9E">
        <w:rPr>
          <w:rFonts w:cs="Arial"/>
          <w:lang w:eastAsia="zh-CN"/>
        </w:rPr>
        <w:t xml:space="preserve"> </w:t>
      </w:r>
      <w:r w:rsidRPr="00D47D9E">
        <w:rPr>
          <w:rFonts w:cs="Arial"/>
        </w:rPr>
        <w:t>After 3 x 10 min washing with PBS stained sections were mounted with DAPI mounting medium (</w:t>
      </w:r>
      <w:proofErr w:type="spellStart"/>
      <w:r w:rsidRPr="00D47D9E">
        <w:rPr>
          <w:rFonts w:cs="Arial"/>
        </w:rPr>
        <w:t>Dako</w:t>
      </w:r>
      <w:proofErr w:type="spellEnd"/>
      <w:r w:rsidRPr="00D47D9E">
        <w:rPr>
          <w:rFonts w:cs="Arial"/>
        </w:rPr>
        <w:t>).</w:t>
      </w:r>
      <w:r w:rsidRPr="00D47D9E">
        <w:rPr>
          <w:rFonts w:cs="Arial"/>
          <w:lang w:eastAsia="zh-CN"/>
        </w:rPr>
        <w:t xml:space="preserve"> </w:t>
      </w:r>
      <w:r w:rsidRPr="00D47D9E">
        <w:rPr>
          <w:rFonts w:cs="Arial"/>
        </w:rPr>
        <w:t>The percentage of TUNEL positive cells was counted and set in percentage relationship t</w:t>
      </w:r>
      <w:r w:rsidRPr="00D47D9E">
        <w:rPr>
          <w:rFonts w:cs="Arial"/>
          <w:lang w:eastAsia="zh-CN"/>
        </w:rPr>
        <w:t>o the total cells from the same field.</w:t>
      </w:r>
    </w:p>
    <w:p w14:paraId="4DBD4E50" w14:textId="3E765FB4" w:rsidR="00884A33" w:rsidRPr="00D47D9E" w:rsidRDefault="00884A33" w:rsidP="00884A33">
      <w:pPr>
        <w:ind w:firstLine="192"/>
        <w:jc w:val="both"/>
        <w:rPr>
          <w:rFonts w:cs="Arial"/>
          <w:lang w:eastAsia="zh-CN"/>
        </w:rPr>
      </w:pPr>
      <w:r w:rsidRPr="00D47D9E">
        <w:rPr>
          <w:rFonts w:eastAsia="SimSun" w:cs="Arial"/>
          <w:bCs/>
          <w:iCs/>
        </w:rPr>
        <w:t>Mucus staining was performed</w:t>
      </w:r>
      <w:r w:rsidRPr="00D47D9E">
        <w:rPr>
          <w:rFonts w:eastAsia="SimSun" w:cs="Arial"/>
        </w:rPr>
        <w:t xml:space="preserve"> accor</w:t>
      </w:r>
      <w:r w:rsidR="00812602">
        <w:rPr>
          <w:rFonts w:eastAsia="SimSun" w:cs="Arial"/>
        </w:rPr>
        <w:t>ding to an established protocol</w:t>
      </w:r>
      <w:r w:rsidR="00812602">
        <w:rPr>
          <w:rFonts w:eastAsia="SimSun" w:cs="Arial"/>
        </w:rPr>
        <w:fldChar w:fldCharType="begin" w:fldLock="1"/>
      </w:r>
      <w:r w:rsidR="009F1197">
        <w:rPr>
          <w:rFonts w:eastAsia="SimSun" w:cs="Arial"/>
        </w:rPr>
        <w:instrText>ADDIN CSL_CITATION {"citationItems":[{"id":"ITEM-1","itemData":{"DOI":"10.1007/978-1-61779-513-8_13","ISBN":"9781617795121","ISSN":"10643745","PMID":"22259139","abstract":"As mucus is highly hydrated, special care has to be taken to preserve this in histological preparations during immunostaining. Here, we describe how to fix tissues in such a way that the mucus is preserved in paraffin-embedded tissue. We also describe how the major macromolecular components in the mucus, the mucins, are immunostained and how bacteria can be localized in preparations with preserved mucus by fluorescent in situ hybridization.","author":[{"dropping-particle":"V","family":"Johansson","given":"Malin E","non-dropping-particle":"","parse-names":false,"suffix":""},{"dropping-particle":"","family":"Hansson","given":"Gunnar C.","non-dropping-particle":"","parse-names":false,"suffix":""}],"container-title":"Methods in Molecular Biology","id":"ITEM-1","issued":{"date-parts":[["2012"]]},"page":"229-235","title":"Preservation of mucus in histological sections, immunostaining of mucins in fixed tissue, and localization of bacteria with FISH","type":"article-journal","volume":"842"},"uris":["http://www.mendeley.com/documents/?uuid=f2129c1f-7c72-4655-8e7b-6052f0f05e7c"]}],"mendeley":{"formattedCitation":"(1)","plainTextFormattedCitation":"(1)","previouslyFormattedCitation":"(1)"},"properties":{"noteIndex":0},"schema":"https://github.com/citation-style-language/schema/raw/master/csl-citation.json"}</w:instrText>
      </w:r>
      <w:r w:rsidR="00812602">
        <w:rPr>
          <w:rFonts w:eastAsia="SimSun" w:cs="Arial"/>
        </w:rPr>
        <w:fldChar w:fldCharType="separate"/>
      </w:r>
      <w:r w:rsidR="00812602" w:rsidRPr="00812602">
        <w:rPr>
          <w:rFonts w:eastAsia="SimSun" w:cs="Arial"/>
          <w:noProof/>
        </w:rPr>
        <w:t>(1)</w:t>
      </w:r>
      <w:r w:rsidR="00812602">
        <w:rPr>
          <w:rFonts w:eastAsia="SimSun" w:cs="Arial"/>
        </w:rPr>
        <w:fldChar w:fldCharType="end"/>
      </w:r>
      <w:r w:rsidR="00812602">
        <w:rPr>
          <w:rFonts w:eastAsia="SimSun" w:cs="Arial"/>
        </w:rPr>
        <w:t xml:space="preserve">. </w:t>
      </w:r>
      <w:r w:rsidRPr="00D47D9E">
        <w:rPr>
          <w:rFonts w:eastAsia="SimSun" w:cs="Arial"/>
        </w:rPr>
        <w:t xml:space="preserve">Colon tissue sections containing fecal pellets were fixed using the </w:t>
      </w:r>
      <w:proofErr w:type="spellStart"/>
      <w:r w:rsidRPr="00D47D9E">
        <w:rPr>
          <w:rFonts w:eastAsia="SimSun" w:cs="Arial"/>
        </w:rPr>
        <w:t>Carnoy</w:t>
      </w:r>
      <w:proofErr w:type="spellEnd"/>
      <w:r w:rsidRPr="00D47D9E">
        <w:rPr>
          <w:rFonts w:eastAsia="SimSun" w:cs="Arial"/>
        </w:rPr>
        <w:t xml:space="preserve"> fixation</w:t>
      </w:r>
      <w:r w:rsidRPr="00D47D9E">
        <w:rPr>
          <w:rFonts w:eastAsiaTheme="minorEastAsia" w:cs="Arial"/>
          <w:lang w:eastAsia="zh-CN"/>
        </w:rPr>
        <w:t xml:space="preserve"> </w:t>
      </w:r>
      <w:r w:rsidRPr="00D47D9E">
        <w:rPr>
          <w:rFonts w:eastAsia="SimSun" w:cs="Arial"/>
        </w:rPr>
        <w:t xml:space="preserve">method (60% absolute methanol, 30% chloroform, 10% glacial acetic acid) for 48h followed by embedding in paraffin. </w:t>
      </w:r>
      <w:r w:rsidRPr="00D47D9E">
        <w:rPr>
          <w:rFonts w:cs="Arial"/>
        </w:rPr>
        <w:t>Paraffin embedded sections were rehydrated with xylene and decreasing percentages of ethanol</w:t>
      </w:r>
      <w:r w:rsidRPr="00D47D9E">
        <w:rPr>
          <w:rFonts w:cs="Arial"/>
          <w:lang w:eastAsia="zh-CN"/>
        </w:rPr>
        <w:t xml:space="preserve">. </w:t>
      </w:r>
      <w:r w:rsidRPr="00D47D9E">
        <w:rPr>
          <w:rFonts w:cs="Arial"/>
        </w:rPr>
        <w:t xml:space="preserve">Sections were blocked with 10% goat serum 20 min and further incubated overnight with </w:t>
      </w:r>
      <w:r w:rsidRPr="00D47D9E">
        <w:rPr>
          <w:rFonts w:eastAsia="SimSun" w:cs="Arial"/>
        </w:rPr>
        <w:t>anti-Muc2 primary antibody</w:t>
      </w:r>
      <w:r w:rsidRPr="00D47D9E">
        <w:rPr>
          <w:rFonts w:cs="Arial"/>
        </w:rPr>
        <w:t xml:space="preserve"> (1:500</w:t>
      </w:r>
      <w:r w:rsidRPr="00D47D9E">
        <w:rPr>
          <w:rFonts w:cs="Arial"/>
          <w:lang w:eastAsia="zh-CN"/>
        </w:rPr>
        <w:t xml:space="preserve"> diluted, </w:t>
      </w:r>
      <w:r w:rsidRPr="00D47D9E">
        <w:rPr>
          <w:rFonts w:cs="Arial"/>
        </w:rPr>
        <w:t xml:space="preserve">SC-15334, </w:t>
      </w:r>
      <w:proofErr w:type="spellStart"/>
      <w:r w:rsidRPr="00D47D9E">
        <w:rPr>
          <w:rFonts w:cs="Arial"/>
          <w:lang w:eastAsia="zh-CN"/>
        </w:rPr>
        <w:t>Canta</w:t>
      </w:r>
      <w:proofErr w:type="spellEnd"/>
      <w:r w:rsidRPr="00D47D9E">
        <w:rPr>
          <w:rFonts w:cs="Arial"/>
          <w:lang w:eastAsia="zh-CN"/>
        </w:rPr>
        <w:t xml:space="preserve"> Cruz</w:t>
      </w:r>
      <w:r w:rsidRPr="00D47D9E">
        <w:rPr>
          <w:rFonts w:cs="Arial"/>
        </w:rPr>
        <w:t>) at 4°C in a humid atmosphere. Slides were washed twice with PBS 5 min x 3 times, and the secondary antibody (1:200</w:t>
      </w:r>
      <w:r w:rsidRPr="00D47D9E">
        <w:rPr>
          <w:rFonts w:cs="Arial"/>
          <w:lang w:eastAsia="zh-CN"/>
        </w:rPr>
        <w:t xml:space="preserve"> diluted</w:t>
      </w:r>
      <w:r w:rsidRPr="00D47D9E">
        <w:rPr>
          <w:rFonts w:cs="Arial"/>
        </w:rPr>
        <w:t>) was applied for 1 h</w:t>
      </w:r>
      <w:r w:rsidRPr="00D47D9E">
        <w:rPr>
          <w:rFonts w:cs="Arial"/>
          <w:lang w:eastAsia="zh-CN"/>
        </w:rPr>
        <w:t>our</w:t>
      </w:r>
      <w:r w:rsidRPr="00D47D9E">
        <w:rPr>
          <w:rFonts w:cs="Arial"/>
        </w:rPr>
        <w:t xml:space="preserve"> at RT in humidifying box. Nuclei were counterstained with DAPI in mounting medium</w:t>
      </w:r>
      <w:r w:rsidRPr="00D47D9E">
        <w:rPr>
          <w:rFonts w:cs="Arial"/>
          <w:lang w:eastAsia="zh-CN"/>
        </w:rPr>
        <w:t>.</w:t>
      </w:r>
    </w:p>
    <w:p w14:paraId="72723B23" w14:textId="77777777" w:rsidR="00884A33" w:rsidRPr="00D47D9E" w:rsidRDefault="00884A33" w:rsidP="00884A33">
      <w:pPr>
        <w:jc w:val="both"/>
        <w:rPr>
          <w:rFonts w:cs="Arial"/>
          <w:b/>
        </w:rPr>
      </w:pPr>
      <w:r w:rsidRPr="00D47D9E">
        <w:rPr>
          <w:rFonts w:cs="Arial"/>
          <w:b/>
        </w:rPr>
        <w:t xml:space="preserve">Immunohistochemistry </w:t>
      </w:r>
      <w:r>
        <w:rPr>
          <w:rFonts w:cs="Arial"/>
          <w:b/>
        </w:rPr>
        <w:t>staining</w:t>
      </w:r>
    </w:p>
    <w:p w14:paraId="14462E95" w14:textId="474F3769" w:rsidR="00D55368" w:rsidRPr="00F96C43" w:rsidRDefault="00884A33" w:rsidP="00F96C43">
      <w:pPr>
        <w:ind w:right="4"/>
        <w:jc w:val="both"/>
        <w:rPr>
          <w:rFonts w:cs="Arial"/>
          <w:lang w:eastAsia="zh-CN"/>
        </w:rPr>
      </w:pPr>
      <w:r w:rsidRPr="00D47D9E">
        <w:rPr>
          <w:rFonts w:cs="Arial"/>
          <w:lang w:eastAsia="zh-CN"/>
        </w:rPr>
        <w:t xml:space="preserve">Immunohistochemical </w:t>
      </w:r>
      <w:proofErr w:type="spellStart"/>
      <w:r w:rsidRPr="00D47D9E">
        <w:rPr>
          <w:rFonts w:cs="Arial"/>
          <w:lang w:eastAsia="zh-CN"/>
        </w:rPr>
        <w:t>stainings</w:t>
      </w:r>
      <w:proofErr w:type="spellEnd"/>
      <w:r w:rsidRPr="00D47D9E">
        <w:rPr>
          <w:rFonts w:cs="Arial"/>
          <w:lang w:eastAsia="zh-CN"/>
        </w:rPr>
        <w:t xml:space="preserve"> against CD45 (</w:t>
      </w:r>
      <w:r w:rsidRPr="00D47D9E">
        <w:rPr>
          <w:rFonts w:cs="Arial"/>
        </w:rPr>
        <w:t>BD, 550539</w:t>
      </w:r>
      <w:r w:rsidRPr="00D47D9E">
        <w:rPr>
          <w:rFonts w:cs="Arial"/>
          <w:lang w:eastAsia="zh-CN"/>
        </w:rPr>
        <w:t xml:space="preserve">), CD11b (BD, </w:t>
      </w:r>
      <w:r w:rsidRPr="00D47D9E">
        <w:rPr>
          <w:rFonts w:cs="Arial"/>
        </w:rPr>
        <w:t>550282)</w:t>
      </w:r>
      <w:r w:rsidRPr="00D47D9E">
        <w:rPr>
          <w:rFonts w:cs="Arial"/>
          <w:lang w:eastAsia="zh-CN"/>
        </w:rPr>
        <w:t>, F4/80 (</w:t>
      </w:r>
      <w:proofErr w:type="spellStart"/>
      <w:r w:rsidRPr="00D47D9E">
        <w:rPr>
          <w:rFonts w:cs="Arial"/>
        </w:rPr>
        <w:t>AbD</w:t>
      </w:r>
      <w:proofErr w:type="spellEnd"/>
      <w:r w:rsidRPr="00D47D9E">
        <w:rPr>
          <w:rFonts w:cs="Arial"/>
        </w:rPr>
        <w:t xml:space="preserve"> </w:t>
      </w:r>
      <w:proofErr w:type="spellStart"/>
      <w:r w:rsidRPr="00D47D9E">
        <w:rPr>
          <w:rFonts w:cs="Arial"/>
        </w:rPr>
        <w:t>serotec</w:t>
      </w:r>
      <w:proofErr w:type="spellEnd"/>
      <w:r w:rsidRPr="00D47D9E">
        <w:rPr>
          <w:rFonts w:cs="Arial"/>
        </w:rPr>
        <w:t>, MCA497GA</w:t>
      </w:r>
      <w:r w:rsidRPr="00D47D9E">
        <w:rPr>
          <w:rFonts w:cs="Arial"/>
          <w:lang w:eastAsia="zh-CN"/>
        </w:rPr>
        <w:t>), cleaved Caspase-3 (Cell Signaling, #9661), cleaved Caspase-8 (Cell Signaling, #9429S) and NLRP3 (</w:t>
      </w:r>
      <w:proofErr w:type="spellStart"/>
      <w:r w:rsidRPr="00D47D9E">
        <w:rPr>
          <w:rFonts w:cs="Arial"/>
        </w:rPr>
        <w:t>Adipo</w:t>
      </w:r>
      <w:proofErr w:type="spellEnd"/>
      <w:r w:rsidRPr="00D47D9E">
        <w:rPr>
          <w:rFonts w:cs="Arial"/>
        </w:rPr>
        <w:t xml:space="preserve"> Gen, AG-20B-0014</w:t>
      </w:r>
      <w:r w:rsidRPr="00D47D9E">
        <w:rPr>
          <w:rFonts w:cs="Arial"/>
          <w:lang w:eastAsia="zh-CN"/>
        </w:rPr>
        <w:t>) were performed on paraffin-embedded sections, as describe previously</w:t>
      </w:r>
      <w:r w:rsidR="009F1197">
        <w:rPr>
          <w:rFonts w:cs="Arial"/>
          <w:lang w:eastAsia="zh-CN"/>
        </w:rPr>
        <w:fldChar w:fldCharType="begin" w:fldLock="1"/>
      </w:r>
      <w:r w:rsidR="00EE7C12">
        <w:rPr>
          <w:rFonts w:cs="Arial"/>
          <w:lang w:eastAsia="zh-CN"/>
        </w:rPr>
        <w:instrText>ADDIN CSL_CITATION {"citationItems":[{"id":"ITEM-1","itemData":{"DOI":"10.1016/j.jhep.2018.08.015","ISBN":"978-3-88226-366-4","ISSN":"16000641","PMID":"30144553","abstract":"Background &amp; Aims: Caspase 8 (CASP8) is the apical initiator caspase in death receptor-mediated apoptosis. Strong evidence for a link between death receptor signaling pathways and cholestasis has recently emerged. Herein, we investigated the role of CASP8-dependent and independent pathways during experimental cholestasis. Methods: Liver injury was characterized in a cohort of human sera (n = 28) and biopsies from patients with stage IV primary biliary cholangitis. In parallel, mice with either specific deletion of Casp8 in liver parenchymal cells (Casp8Δhepa) or hepatocytes (Casp8Δhep), and mice with constitutive Ripk3 (Ripk3−/−) deletion, were subjected to surgical ligation of the common bile duct (BDL) from 2 to 28 days. Floxed (Casp8fl/fl) and Ripk3+/+ mice were used as controls. Moreover, the pan-caspase inhibitor IDN-7314 was used, and cell death mechanisms were studied in primary isolated hepatocytes. Results: Overexpression of activated caspase 3, CASP8 and RIPK3 was characteristic of liver explants from patients with primary biliary cholangitis. Twenty-eight days after BDL, Casp8Δhepa mice showed decreased necrotic foci, serum aminotransferase levels and apoptosis along with diminished compensatory proliferation and ductular reaction. These results correlated with a decreased inflammatory profile and ameliorated liver fibrogenesis. A similar phenotype was observed in Ripk3−/− mice. IDN-7314 treatment decreased CASP8 levels but failed to prevent BDL-induced cholestasis, independently of CASP8 in hepatocytes. Conclusion: These findings show that intervention against CASP8 in liver parenchymal cells – specifically in cholangiocytes – might be a beneficial option for treating obstructive cholestasis, while broad pan-caspase inhibition might trigger undesirable side effects. Lay summary: Loss of caspase 8 – a protein involved in programmed cell death – in liver parenchymal cells protects against experimental cholestasis. Therefore, specific pharmacological intervention against caspase 8 might be a valid alternative for the treatment of obstructive cholestasis in the clinic, whereas broad pan-caspase inhibiting drugs might trigger undesirable side effects.","author":[{"dropping-particle":"","family":"Cubero","given":"Francisco Javier","non-dropping-particle":"","parse-names":false,"suffix":""},{"dropping-particle":"","family":"Peng","given":"Jin","non-dropping-particle":"","parse-names":false,"suffix":""},{"dropping-particle":"","family":"Liao","given":"Lijun","non-dropping-particle":"","parse-names":false,"suffix":""},{"dropping-particle":"","family":"Su","given":"Huan","non-dropping-particle":"","parse-names":false,"suffix":""},{"dropping-particle":"","family":"Zhao","given":"Gang","non-dropping-particle":"","parse-names":false,"suffix":""},{"dropping-particle":"","family":"Eugenio Zoubek","given":"Miguel","non-dropping-particle":"","parse-names":false,"suffix":""},{"dropping-particle":"","family":"Macías-Rodríguez","given":"Ricardo","non-dropping-particle":"","parse-names":false,"suffix":""},{"dropping-particle":"","family":"Ruiz-Margain","given":"Astrid","non-dropping-particle":"","parse-names":false,"suffix":""},{"dropping-particle":"","family":"Reißing","given":"Johanna","non-dropping-particle":"","parse-names":false,"suffix":""},{"dropping-particle":"","family":"Zimmermann","given":"Henning W.","non-dropping-particle":"","parse-names":false,"suffix":""},{"dropping-particle":"","family":"Gassler","given":"Nikolaus","non-dropping-particle":"","parse-names":false,"suffix":""},{"dropping-particle":"","family":"Luedde","given":"Tom","non-dropping-particle":"","parse-names":false,"suffix":""},{"dropping-particle":"","family":"Liedtke","given":"Christian","non-dropping-particle":"","parse-names":false,"suffix":""},{"dropping-particle":"","family":"Hatting","given":"Maximilian","non-dropping-particle":"","parse-names":false,"suffix":""},{"dropping-particle":"","family":"Trautwein","given":"Christian","non-dropping-particle":"","parse-names":false,"suffix":""}],"container-title":"Journal of Hepatology","id":"ITEM-1","issued":{"date-parts":[["2018"]]},"title":"Inactivation of caspase 8 in liver parenchymal cells confers protection against murine obstructive cholestasis","type":"article-journal"},"uris":["http://www.mendeley.com/documents/?uuid=26e5a744-3e6a-4d79-8749-3f7c148c1c79"]}],"mendeley":{"formattedCitation":"(2)","plainTextFormattedCitation":"(2)","previouslyFormattedCitation":"(2)"},"properties":{"noteIndex":0},"schema":"https://github.com/citation-style-language/schema/raw/master/csl-citation.json"}</w:instrText>
      </w:r>
      <w:r w:rsidR="009F1197">
        <w:rPr>
          <w:rFonts w:cs="Arial"/>
          <w:lang w:eastAsia="zh-CN"/>
        </w:rPr>
        <w:fldChar w:fldCharType="separate"/>
      </w:r>
      <w:r w:rsidR="009F1197" w:rsidRPr="009F1197">
        <w:rPr>
          <w:rFonts w:cs="Arial"/>
          <w:noProof/>
          <w:lang w:eastAsia="zh-CN"/>
        </w:rPr>
        <w:t>(2)</w:t>
      </w:r>
      <w:r w:rsidR="009F1197">
        <w:rPr>
          <w:rFonts w:cs="Arial"/>
          <w:lang w:eastAsia="zh-CN"/>
        </w:rPr>
        <w:fldChar w:fldCharType="end"/>
      </w:r>
      <w:r>
        <w:rPr>
          <w:rFonts w:cs="Arial"/>
          <w:lang w:eastAsia="zh-CN"/>
        </w:rPr>
        <w:t>.</w:t>
      </w:r>
      <w:r w:rsidRPr="00D47D9E">
        <w:rPr>
          <w:rFonts w:cs="Arial"/>
          <w:lang w:eastAsia="zh-CN"/>
        </w:rPr>
        <w:t xml:space="preserve"> The sections were blocked with peroxidase-conjugated avidin-biotin method (ABC Reagent Kit, Vector). To block unspecific binding sites slides were further incubated for 30 min at RT in 50% FCS + 50% PBS containing 1% BSA. Slides were then incubated with primary antibody in blocking solution at optimized dilutions at 4°C overnight. Next day slides were washed </w:t>
      </w:r>
      <w:r w:rsidRPr="00D47D9E">
        <w:rPr>
          <w:rFonts w:cs="Arial"/>
          <w:lang w:eastAsia="zh-CN"/>
        </w:rPr>
        <w:lastRenderedPageBreak/>
        <w:t xml:space="preserve">twice with PBS and the secondary antibodies (1:200 diluted in PBT) were applied for 45 min at RT. To make the visualization of the signal, the enzyme substrate 3, 3'-diaminobenzidine (DAB) Substrate-Kit (Vector) was used. </w:t>
      </w:r>
    </w:p>
    <w:p w14:paraId="5BAE68D7" w14:textId="77777777" w:rsidR="00884A33" w:rsidRPr="00D47D9E" w:rsidRDefault="00884A33" w:rsidP="00884A33">
      <w:pPr>
        <w:jc w:val="both"/>
        <w:rPr>
          <w:rFonts w:cs="Arial"/>
          <w:b/>
        </w:rPr>
      </w:pPr>
      <w:r>
        <w:rPr>
          <w:rFonts w:cs="Arial"/>
          <w:b/>
        </w:rPr>
        <w:t>Sirius r</w:t>
      </w:r>
      <w:r w:rsidRPr="00D47D9E">
        <w:rPr>
          <w:rFonts w:cs="Arial"/>
          <w:b/>
        </w:rPr>
        <w:t>ed</w:t>
      </w:r>
    </w:p>
    <w:p w14:paraId="4CF8F6F1" w14:textId="709B3610" w:rsidR="00884A33" w:rsidRPr="00D47D9E" w:rsidRDefault="00884A33" w:rsidP="00884A33">
      <w:pPr>
        <w:jc w:val="both"/>
        <w:rPr>
          <w:rFonts w:cs="Arial"/>
          <w:b/>
        </w:rPr>
      </w:pPr>
      <w:r w:rsidRPr="00D47D9E">
        <w:rPr>
          <w:rFonts w:cs="Arial"/>
          <w:lang w:eastAsia="zh-CN"/>
        </w:rPr>
        <w:t>To study the development</w:t>
      </w:r>
      <w:r>
        <w:rPr>
          <w:rFonts w:cs="Arial"/>
          <w:lang w:eastAsia="zh-CN"/>
        </w:rPr>
        <w:t xml:space="preserve"> of </w:t>
      </w:r>
      <w:r w:rsidRPr="00D47D9E">
        <w:rPr>
          <w:rFonts w:cs="Arial"/>
          <w:lang w:eastAsia="zh-CN"/>
        </w:rPr>
        <w:t xml:space="preserve">liver fibrosis, paraffin embedded tissue sections were stained with Sirius red, as described </w:t>
      </w:r>
      <w:r w:rsidRPr="005512ED">
        <w:rPr>
          <w:rFonts w:cs="Arial"/>
          <w:lang w:eastAsia="zh-CN"/>
        </w:rPr>
        <w:t>previously</w:t>
      </w:r>
      <w:r w:rsidR="0025523C">
        <w:rPr>
          <w:rFonts w:cs="Arial"/>
          <w:lang w:eastAsia="zh-CN"/>
        </w:rPr>
        <w:fldChar w:fldCharType="begin" w:fldLock="1"/>
      </w:r>
      <w:r w:rsidR="00EE7C12">
        <w:rPr>
          <w:rFonts w:cs="Arial"/>
          <w:lang w:eastAsia="zh-CN"/>
        </w:rPr>
        <w:instrText>ADDIN CSL_CITATION {"citationItems":[{"id":"ITEM-1","itemData":{"DOI":"10.1002/hep.27982","ISBN":"1527-3350 (Electronic)\\r0270-9139 (Linking)","ISSN":"15273350","PMID":"26178698","abstract":"Non-alcoholic fatty liver disease (NAFLD) is seen as the hepatic manifestation of the metabolic syndrome and represents the most common liver disease in Western societies. The G-Protein-coupled chemokine receptor CX3CR1 plays a central role in several metabolic syndrome-related disease manifestations and is involved in maintaining intestinal homeostasis. Since diet-induced intestinal dysbiosis is a driver for NAFLD, we hypothesized that CX3CR1 may influence the development of steatohepatitis. In two independent models of diet-induced steatohepatitis (high fat diet (HFD) and methionine choline deficient diet (MCD)), CX3CR1 protected mice from excessive hepatic steatosis and inflammation, as well as systemic glucose intolerance. Lack of Cx3cr1 expression was associated with significantly altered intestinal microbiota composition, which was linked to an impaired intestinal barrier. Concomitantly, endotoxin levels in portal serum and inflammatory macrophages in liver were increased in Cx3cr1(-/-) mice, indicating an increased inflammatory response. Depletion of intestinal microbiota by administration of broad-spectrum antibiotics (AB) suppressed the number of infiltrating macrophages and promoted macrophage polarization in liver. Consequently, AB-treated mice demonstrated a marked improvement of steatohepatitis.\\n\\nCONCLUSION: our data demonstrate that microbiota-mediated activation of the innate immune responses via CX3CR1 is crucial for controlling steatohepatitis progression, thereby recognizing CX3CR1 as an essential gatekeeper in this scenario. This article is protected by copyright. All rights reserved.","author":[{"dropping-particle":"","family":"Schneider","given":"Kai Markus","non-dropping-particle":"","parse-names":false,"suffix":""},{"dropping-particle":"","family":"Bieghs","given":"Veerle","non-dropping-particle":"","parse-names":false,"suffix":""},{"dropping-particle":"","family":"Heymann","given":"Felix","non-dropping-particle":"","parse-names":false,"suffix":""},{"dropping-particle":"","family":"Hu","given":"Wei","non-dropping-particle":"","parse-names":false,"suffix":""},{"dropping-particle":"","family":"Dreymueller","given":"Daniela","non-dropping-particle":"","parse-names":false,"suffix":""},{"dropping-particle":"","family":"Liao","given":"Lijun","non-dropping-particle":"","parse-names":false,"suffix":""},{"dropping-particle":"","family":"Frissen","given":"Mick","non-dropping-particle":"","parse-names":false,"suffix":""},{"dropping-particle":"","family":"Ludwig","given":"Andreas","non-dropping-particle":"","parse-names":false,"suffix":""},{"dropping-particle":"","family":"Gassler","given":"Nikolaus","non-dropping-particle":"","parse-names":false,"suffix":""},{"dropping-particle":"","family":"Pabst","given":"Oliver","non-dropping-particle":"","parse-names":false,"suffix":""},{"dropping-particle":"","family":"Latz","given":"Eicke","non-dropping-particle":"","parse-names":false,"suffix":""},{"dropping-particle":"","family":"Sellge","given":"Gernot","non-dropping-particle":"","parse-names":false,"suffix":""},{"dropping-particle":"","family":"Penders","given":"John","non-dropping-particle":"","parse-names":false,"suffix":""},{"dropping-particle":"","family":"Tacke","given":"Frank","non-dropping-particle":"","parse-names":false,"suffix":""},{"dropping-particle":"","family":"Trautwein","given":"Christian","non-dropping-particle":"","parse-names":false,"suffix":""}],"container-title":"Hepatology","id":"ITEM-1","issue":"5","issued":{"date-parts":[["2015"]]},"page":"1405-1416","title":"CX3CR1 is a gatekeeper for intestinal barrier integrity in mice: Limiting steatohepatitis by maintaining intestinal homeostasis","type":"article-journal","volume":"62"},"uris":["http://www.mendeley.com/documents/?uuid=6e0a622f-907f-496a-9c6d-18a3ca4b71e7"]}],"mendeley":{"formattedCitation":"(3)","plainTextFormattedCitation":"(3)","previouslyFormattedCitation":"(3)"},"properties":{"noteIndex":0},"schema":"https://github.com/citation-style-language/schema/raw/master/csl-citation.json"}</w:instrText>
      </w:r>
      <w:r w:rsidR="0025523C">
        <w:rPr>
          <w:rFonts w:cs="Arial"/>
          <w:lang w:eastAsia="zh-CN"/>
        </w:rPr>
        <w:fldChar w:fldCharType="separate"/>
      </w:r>
      <w:r w:rsidR="009F1197" w:rsidRPr="009F1197">
        <w:rPr>
          <w:rFonts w:cs="Arial"/>
          <w:noProof/>
          <w:lang w:eastAsia="zh-CN"/>
        </w:rPr>
        <w:t>(3)</w:t>
      </w:r>
      <w:r w:rsidR="0025523C">
        <w:rPr>
          <w:rFonts w:cs="Arial"/>
          <w:lang w:eastAsia="zh-CN"/>
        </w:rPr>
        <w:fldChar w:fldCharType="end"/>
      </w:r>
      <w:r w:rsidR="0025523C">
        <w:rPr>
          <w:rFonts w:cs="Arial"/>
          <w:lang w:eastAsia="zh-CN"/>
        </w:rPr>
        <w:t>.</w:t>
      </w:r>
      <w:r w:rsidR="0025523C" w:rsidRPr="00D47D9E">
        <w:rPr>
          <w:rFonts w:cs="Arial"/>
        </w:rPr>
        <w:t xml:space="preserve"> </w:t>
      </w:r>
      <w:r w:rsidRPr="00D47D9E">
        <w:rPr>
          <w:rFonts w:cs="Arial"/>
        </w:rPr>
        <w:t xml:space="preserve">The slides were dewaxed, rehydrated and incubated in Sirius red staining solution for 45 min. The staining was fixed in 0.5% Acetic Acid. Afterwards the sections were dehydrated and mounted using </w:t>
      </w:r>
      <w:r w:rsidRPr="00D47D9E">
        <w:rPr>
          <w:rFonts w:cs="Arial"/>
          <w:lang w:eastAsia="zh-CN"/>
        </w:rPr>
        <w:t>Roti®-</w:t>
      </w:r>
      <w:proofErr w:type="spellStart"/>
      <w:r w:rsidRPr="00D47D9E">
        <w:rPr>
          <w:rFonts w:cs="Arial"/>
          <w:lang w:eastAsia="zh-CN"/>
        </w:rPr>
        <w:t>Histokitt</w:t>
      </w:r>
      <w:proofErr w:type="spellEnd"/>
      <w:r w:rsidRPr="00D47D9E">
        <w:rPr>
          <w:rFonts w:cs="Arial"/>
        </w:rPr>
        <w:t xml:space="preserve">. </w:t>
      </w:r>
      <w:r w:rsidRPr="00D47D9E">
        <w:rPr>
          <w:rFonts w:cs="Arial"/>
          <w:lang w:eastAsia="zh-CN"/>
        </w:rPr>
        <w:t>The positive area fraction was</w:t>
      </w:r>
      <w:r w:rsidRPr="00D47D9E">
        <w:rPr>
          <w:rFonts w:eastAsiaTheme="minorEastAsia" w:cs="Arial"/>
          <w:lang w:eastAsia="zh-CN"/>
        </w:rPr>
        <w:t xml:space="preserve"> </w:t>
      </w:r>
      <w:r w:rsidRPr="00D47D9E">
        <w:rPr>
          <w:rFonts w:cs="Arial"/>
          <w:lang w:eastAsia="zh-CN"/>
        </w:rPr>
        <w:t>quantified via ImageJ</w:t>
      </w:r>
      <w:r w:rsidRPr="00D47D9E">
        <w:rPr>
          <w:rFonts w:cs="Arial"/>
          <w:vertAlign w:val="superscript"/>
          <w:lang w:eastAsia="zh-CN"/>
        </w:rPr>
        <w:t>©</w:t>
      </w:r>
      <w:r w:rsidRPr="00D47D9E">
        <w:rPr>
          <w:rFonts w:cs="Arial"/>
          <w:lang w:eastAsia="zh-CN"/>
        </w:rPr>
        <w:t>.</w:t>
      </w:r>
      <w:r w:rsidRPr="00D47D9E">
        <w:rPr>
          <w:rFonts w:cs="Arial"/>
        </w:rPr>
        <w:t xml:space="preserve"> </w:t>
      </w:r>
      <w:bookmarkStart w:id="2" w:name="_Toc473718537"/>
    </w:p>
    <w:p w14:paraId="0626588A" w14:textId="77777777" w:rsidR="00884A33" w:rsidRPr="00D47D9E" w:rsidRDefault="00884A33" w:rsidP="00884A33">
      <w:pPr>
        <w:jc w:val="both"/>
        <w:rPr>
          <w:rFonts w:cs="Arial"/>
          <w:b/>
        </w:rPr>
      </w:pPr>
      <w:bookmarkStart w:id="3" w:name="_Toc473718538"/>
      <w:bookmarkEnd w:id="2"/>
      <w:r>
        <w:rPr>
          <w:rFonts w:cs="Arial"/>
          <w:b/>
        </w:rPr>
        <w:t>Flow cytometry analysis of intrahepatic l</w:t>
      </w:r>
      <w:r w:rsidRPr="00D47D9E">
        <w:rPr>
          <w:rFonts w:cs="Arial"/>
          <w:b/>
        </w:rPr>
        <w:t xml:space="preserve">eukocytes  </w:t>
      </w:r>
    </w:p>
    <w:p w14:paraId="081F6992" w14:textId="77777777" w:rsidR="00884A33" w:rsidRPr="00D47D9E" w:rsidRDefault="00884A33" w:rsidP="00884A33">
      <w:pPr>
        <w:jc w:val="both"/>
        <w:rPr>
          <w:rFonts w:cs="Arial"/>
        </w:rPr>
      </w:pPr>
      <w:r w:rsidRPr="00D47D9E">
        <w:rPr>
          <w:rFonts w:cs="Arial"/>
        </w:rPr>
        <w:t>Immune cells isolate</w:t>
      </w:r>
      <w:r>
        <w:rPr>
          <w:rFonts w:cs="Arial"/>
        </w:rPr>
        <w:t>d</w:t>
      </w:r>
      <w:r w:rsidRPr="00D47D9E">
        <w:rPr>
          <w:rFonts w:cs="Arial"/>
        </w:rPr>
        <w:t xml:space="preserve"> from livers of mice were incubated with blocking buffer 20min to block the unspecific binding sites of cell surface and then stained with fluorochrome-conjugated antibodies against Ly6G, CD11b, CD11c, F4/80, Gr1.1 and CD45 (1: 200), all from </w:t>
      </w:r>
      <w:proofErr w:type="spellStart"/>
      <w:r w:rsidRPr="00D47D9E">
        <w:rPr>
          <w:rFonts w:cs="Arial"/>
        </w:rPr>
        <w:t>eBioscience</w:t>
      </w:r>
      <w:proofErr w:type="spellEnd"/>
      <w:r w:rsidRPr="00D47D9E">
        <w:rPr>
          <w:rFonts w:cs="Arial"/>
        </w:rPr>
        <w:t xml:space="preserve"> (Frankfurt, Germany). All samples were acquired by flow cytometry (FACS Canto II; BD Biosciences, Heidelberg, Germany) and analyzed using the </w:t>
      </w:r>
      <w:proofErr w:type="spellStart"/>
      <w:r w:rsidRPr="00D47D9E">
        <w:rPr>
          <w:rFonts w:cs="Arial"/>
        </w:rPr>
        <w:t>Flowjo</w:t>
      </w:r>
      <w:proofErr w:type="spellEnd"/>
      <w:r w:rsidRPr="00D47D9E">
        <w:rPr>
          <w:rFonts w:cs="Arial"/>
        </w:rPr>
        <w:t xml:space="preserve"> software (Ashland, OR, USA).</w:t>
      </w:r>
    </w:p>
    <w:p w14:paraId="3821CBCC" w14:textId="77777777" w:rsidR="00884A33" w:rsidRPr="00D47D9E" w:rsidRDefault="00884A33" w:rsidP="00884A33">
      <w:pPr>
        <w:jc w:val="both"/>
        <w:rPr>
          <w:rFonts w:cs="Arial"/>
          <w:b/>
          <w:bCs/>
        </w:rPr>
      </w:pPr>
      <w:r>
        <w:rPr>
          <w:rFonts w:cs="Arial"/>
          <w:b/>
          <w:bCs/>
        </w:rPr>
        <w:t>Bile acid a</w:t>
      </w:r>
      <w:r w:rsidRPr="00D47D9E">
        <w:rPr>
          <w:rFonts w:cs="Arial"/>
          <w:b/>
          <w:bCs/>
        </w:rPr>
        <w:t>nalysis</w:t>
      </w:r>
      <w:bookmarkEnd w:id="3"/>
    </w:p>
    <w:p w14:paraId="03942F13" w14:textId="77777777" w:rsidR="00884A33" w:rsidRPr="00D47D9E" w:rsidRDefault="00884A33" w:rsidP="00884A33">
      <w:pPr>
        <w:jc w:val="both"/>
        <w:rPr>
          <w:rFonts w:cs="Arial"/>
        </w:rPr>
      </w:pPr>
      <w:r w:rsidRPr="00D47D9E">
        <w:rPr>
          <w:rFonts w:cs="Arial"/>
        </w:rPr>
        <w:t xml:space="preserve">Bile acids in </w:t>
      </w:r>
      <w:proofErr w:type="spellStart"/>
      <w:r w:rsidRPr="00D47D9E">
        <w:rPr>
          <w:rFonts w:cs="Arial"/>
        </w:rPr>
        <w:t>caval</w:t>
      </w:r>
      <w:proofErr w:type="spellEnd"/>
      <w:r w:rsidRPr="00D47D9E">
        <w:rPr>
          <w:rFonts w:cs="Arial"/>
        </w:rPr>
        <w:t xml:space="preserve"> venous blood were analyzed using ultra-performance liquid chromatography-tandem mass spectrometry </w:t>
      </w:r>
      <w:r w:rsidRPr="00D47D9E">
        <w:rPr>
          <w:rFonts w:eastAsia="SimSun" w:cs="Arial"/>
          <w:lang w:eastAsia="zh-CN"/>
        </w:rPr>
        <w:t xml:space="preserve">(UPLC-MS/MS, </w:t>
      </w:r>
      <w:proofErr w:type="spellStart"/>
      <w:r w:rsidRPr="00D47D9E">
        <w:rPr>
          <w:rFonts w:eastAsia="SimSun" w:cs="Arial"/>
          <w:iCs/>
          <w:lang w:eastAsia="zh-CN"/>
        </w:rPr>
        <w:t>Wallenberglab</w:t>
      </w:r>
      <w:proofErr w:type="spellEnd"/>
      <w:r w:rsidRPr="00D47D9E">
        <w:rPr>
          <w:rFonts w:eastAsia="SimSun" w:cs="Arial"/>
          <w:iCs/>
          <w:lang w:eastAsia="zh-CN"/>
        </w:rPr>
        <w:t xml:space="preserve"> laboratory</w:t>
      </w:r>
      <w:r w:rsidRPr="00D47D9E">
        <w:rPr>
          <w:rFonts w:eastAsia="SimSun" w:cs="Arial"/>
          <w:lang w:eastAsia="zh-CN"/>
        </w:rPr>
        <w:t xml:space="preserve"> at </w:t>
      </w:r>
      <w:proofErr w:type="spellStart"/>
      <w:r w:rsidRPr="00D47D9E">
        <w:rPr>
          <w:rFonts w:eastAsia="SimSun" w:cs="Arial"/>
          <w:iCs/>
          <w:lang w:eastAsia="zh-CN"/>
        </w:rPr>
        <w:t>Sahlgrenska</w:t>
      </w:r>
      <w:proofErr w:type="spellEnd"/>
      <w:r w:rsidRPr="00D47D9E">
        <w:rPr>
          <w:rFonts w:eastAsia="SimSun" w:cs="Arial"/>
          <w:iCs/>
          <w:lang w:eastAsia="zh-CN"/>
        </w:rPr>
        <w:t xml:space="preserve"> University Hospital, Sweden)</w:t>
      </w:r>
      <w:r w:rsidRPr="00D47D9E">
        <w:rPr>
          <w:rFonts w:cs="Arial"/>
        </w:rPr>
        <w:t xml:space="preserve"> and quantified employing a combination of deuterium-labeled internal st</w:t>
      </w:r>
      <w:bookmarkStart w:id="4" w:name="_ENREF_14"/>
      <w:r w:rsidRPr="00D47D9E">
        <w:rPr>
          <w:rFonts w:cs="Arial"/>
        </w:rPr>
        <w:t>andards and unlabeled standards.</w:t>
      </w:r>
      <w:bookmarkEnd w:id="4"/>
      <w:r w:rsidRPr="00D47D9E">
        <w:rPr>
          <w:rFonts w:cs="Arial"/>
        </w:rPr>
        <w:t xml:space="preserve"> </w:t>
      </w:r>
    </w:p>
    <w:p w14:paraId="66DE96D6" w14:textId="77777777" w:rsidR="00884A33" w:rsidRPr="00D47D9E" w:rsidRDefault="00884A33" w:rsidP="00884A33">
      <w:pPr>
        <w:jc w:val="both"/>
        <w:rPr>
          <w:rFonts w:cs="Arial"/>
          <w:b/>
          <w:bCs/>
          <w:i/>
        </w:rPr>
      </w:pPr>
      <w:r>
        <w:rPr>
          <w:rFonts w:cs="Arial"/>
          <w:b/>
          <w:bCs/>
        </w:rPr>
        <w:t>Intestinal p</w:t>
      </w:r>
      <w:r w:rsidRPr="00D47D9E">
        <w:rPr>
          <w:rFonts w:cs="Arial"/>
          <w:b/>
          <w:bCs/>
        </w:rPr>
        <w:t>ermeability in</w:t>
      </w:r>
      <w:r w:rsidRPr="00D47D9E">
        <w:rPr>
          <w:rFonts w:cs="Arial"/>
          <w:b/>
          <w:bCs/>
          <w:i/>
        </w:rPr>
        <w:t xml:space="preserve"> vivo</w:t>
      </w:r>
    </w:p>
    <w:p w14:paraId="044D6CA8" w14:textId="77777777" w:rsidR="00884A33" w:rsidRPr="00D47D9E" w:rsidRDefault="00884A33" w:rsidP="00884A33">
      <w:pPr>
        <w:jc w:val="both"/>
        <w:rPr>
          <w:rFonts w:cs="Arial"/>
        </w:rPr>
      </w:pPr>
      <w:r>
        <w:rPr>
          <w:rFonts w:cs="Arial"/>
        </w:rPr>
        <w:t>I</w:t>
      </w:r>
      <w:r w:rsidRPr="00D47D9E">
        <w:rPr>
          <w:rFonts w:cs="Arial"/>
        </w:rPr>
        <w:t xml:space="preserve">sothiocyanate conjugated dextran (FITC-dextran, molecular mass 4.0 </w:t>
      </w:r>
      <w:proofErr w:type="spellStart"/>
      <w:r w:rsidRPr="00D47D9E">
        <w:rPr>
          <w:rFonts w:cs="Arial"/>
        </w:rPr>
        <w:t>kDa</w:t>
      </w:r>
      <w:proofErr w:type="spellEnd"/>
      <w:r w:rsidRPr="00D47D9E">
        <w:rPr>
          <w:rFonts w:cs="Arial"/>
        </w:rPr>
        <w:t xml:space="preserve">, Uppsala, Sweden) dissolved in PBS at a concentration of 200 mg/ml was administered to mice (10 ml/kg body weight) by oral gavage. 4 h after gavage the mice were sacrificed </w:t>
      </w:r>
      <w:r w:rsidRPr="00D47D9E">
        <w:rPr>
          <w:rFonts w:cs="Arial"/>
          <w:lang w:val="en-GB"/>
        </w:rPr>
        <w:t xml:space="preserve">under general </w:t>
      </w:r>
      <w:proofErr w:type="spellStart"/>
      <w:r w:rsidRPr="00D47D9E">
        <w:rPr>
          <w:rFonts w:cs="Arial"/>
          <w:lang w:val="en-GB"/>
        </w:rPr>
        <w:t>anesthesia</w:t>
      </w:r>
      <w:proofErr w:type="spellEnd"/>
      <w:r w:rsidRPr="00D47D9E">
        <w:rPr>
          <w:rFonts w:cs="Arial"/>
          <w:lang w:val="en-GB"/>
        </w:rPr>
        <w:t xml:space="preserve"> by isoflurane</w:t>
      </w:r>
      <w:r w:rsidRPr="00D47D9E">
        <w:rPr>
          <w:rFonts w:cs="Arial"/>
        </w:rPr>
        <w:t>. Blood samples were collected from inferior vena cava and immediately store</w:t>
      </w:r>
      <w:r>
        <w:rPr>
          <w:rFonts w:cs="Arial"/>
        </w:rPr>
        <w:t>d</w:t>
      </w:r>
      <w:r w:rsidRPr="00D47D9E">
        <w:rPr>
          <w:rFonts w:cs="Arial"/>
        </w:rPr>
        <w:t xml:space="preserve"> at 4 °C in in the dark. Once blood has been collected in the SST </w:t>
      </w:r>
      <w:r w:rsidRPr="00D47D9E">
        <w:rPr>
          <w:rFonts w:cs="Arial"/>
        </w:rPr>
        <w:lastRenderedPageBreak/>
        <w:t xml:space="preserve">tubes from all the mice, the SST tubes are processed to separate the serum following the manufacturer’s instruction. Add 100 </w:t>
      </w:r>
      <w:proofErr w:type="spellStart"/>
      <w:r w:rsidRPr="00D47D9E">
        <w:rPr>
          <w:rFonts w:cs="Arial"/>
        </w:rPr>
        <w:t>μl</w:t>
      </w:r>
      <w:proofErr w:type="spellEnd"/>
      <w:r w:rsidRPr="00D47D9E">
        <w:rPr>
          <w:rFonts w:cs="Arial"/>
        </w:rPr>
        <w:t xml:space="preserve"> of serum to a 96-well microplate in duplicate. Concentration of FITC in serum was determined by </w:t>
      </w:r>
      <w:proofErr w:type="spellStart"/>
      <w:r w:rsidRPr="00D47D9E">
        <w:rPr>
          <w:rFonts w:cs="Arial"/>
        </w:rPr>
        <w:t>spectrophotofluorometry</w:t>
      </w:r>
      <w:proofErr w:type="spellEnd"/>
      <w:r w:rsidRPr="00D47D9E">
        <w:rPr>
          <w:rFonts w:cs="Arial"/>
        </w:rPr>
        <w:t xml:space="preserve"> at an excitation wavelength of 485 nm (20 nm band width) and an emission wavelength of 528 nm (20 nm band width), using standard serially diluted FITC-dextran (0, 125, 250, 500, 1,000, 2,000, 4,000, 6,000, 8,000, 10,000 ng/ml). Serum from mice not administered with FITC-dextran was used to determine the background.</w:t>
      </w:r>
    </w:p>
    <w:p w14:paraId="4B23A20D" w14:textId="172A01C5" w:rsidR="00C552BF" w:rsidRPr="00C552BF" w:rsidRDefault="00C552BF" w:rsidP="00C552BF">
      <w:pPr>
        <w:rPr>
          <w:rFonts w:cs="Arial"/>
          <w:b/>
        </w:rPr>
      </w:pPr>
      <w:r>
        <w:rPr>
          <w:rFonts w:cs="Arial"/>
          <w:b/>
        </w:rPr>
        <w:t>E</w:t>
      </w:r>
      <w:r w:rsidRPr="00894AAB">
        <w:rPr>
          <w:rFonts w:cs="Arial"/>
          <w:b/>
        </w:rPr>
        <w:t>ndotoxin measurement</w:t>
      </w:r>
      <w:r>
        <w:rPr>
          <w:rFonts w:cs="Arial"/>
          <w:b/>
        </w:rPr>
        <w:t xml:space="preserve"> - </w:t>
      </w:r>
      <w:r w:rsidRPr="00894AAB">
        <w:rPr>
          <w:rFonts w:cs="Arial"/>
          <w:b/>
        </w:rPr>
        <w:t>Limulus</w:t>
      </w:r>
      <w:r>
        <w:rPr>
          <w:rFonts w:cs="Arial"/>
          <w:b/>
        </w:rPr>
        <w:t xml:space="preserve"> </w:t>
      </w:r>
      <w:proofErr w:type="spellStart"/>
      <w:r>
        <w:rPr>
          <w:rFonts w:cs="Arial"/>
          <w:b/>
        </w:rPr>
        <w:t>amebocyte</w:t>
      </w:r>
      <w:proofErr w:type="spellEnd"/>
      <w:r>
        <w:rPr>
          <w:rFonts w:cs="Arial"/>
          <w:b/>
        </w:rPr>
        <w:t xml:space="preserve"> lysate (LAL) assa</w:t>
      </w:r>
      <w:r w:rsidR="00BF6038">
        <w:rPr>
          <w:rFonts w:cs="Arial"/>
          <w:b/>
        </w:rPr>
        <w:t>y</w:t>
      </w:r>
    </w:p>
    <w:p w14:paraId="6D2C5A2C" w14:textId="4D99EE6D" w:rsidR="00C552BF" w:rsidRDefault="00C552BF" w:rsidP="00884A33">
      <w:pPr>
        <w:jc w:val="both"/>
        <w:rPr>
          <w:rFonts w:cs="Arial"/>
        </w:rPr>
      </w:pPr>
      <w:r w:rsidRPr="00894AAB">
        <w:rPr>
          <w:rFonts w:cs="Arial"/>
        </w:rPr>
        <w:t xml:space="preserve">The Limulus </w:t>
      </w:r>
      <w:proofErr w:type="spellStart"/>
      <w:r w:rsidRPr="00894AAB">
        <w:rPr>
          <w:rFonts w:cs="Arial"/>
        </w:rPr>
        <w:t>Amebocyte</w:t>
      </w:r>
      <w:proofErr w:type="spellEnd"/>
      <w:r w:rsidRPr="00894AAB">
        <w:rPr>
          <w:rFonts w:cs="Arial"/>
        </w:rPr>
        <w:t xml:space="preserve"> Lysate test (LAL test – Charles River LAL Kit) was used to determine the endotoxin levels in portal serum samples.  To avoid external endotoxin contamination only autoclaved endotoxin free tubes and tips were used and the assay was performed in </w:t>
      </w:r>
      <w:proofErr w:type="spellStart"/>
      <w:r w:rsidRPr="00894AAB">
        <w:rPr>
          <w:rFonts w:cs="Arial"/>
        </w:rPr>
        <w:t>Endosafe</w:t>
      </w:r>
      <w:proofErr w:type="spellEnd"/>
      <w:r w:rsidRPr="00894AAB">
        <w:rPr>
          <w:rFonts w:cs="Arial"/>
        </w:rPr>
        <w:t xml:space="preserve"> 96-well plates. Endotoxin levels were measured in EU/mL where "EU" stands for Endotoxin Units.</w:t>
      </w:r>
      <w:r w:rsidR="00164F4F">
        <w:rPr>
          <w:rFonts w:cs="Arial"/>
        </w:rPr>
        <w:t xml:space="preserve"> LPS standard was prepared by diluting 10ng (i.e. 100U) in 10mL of LAL reagent water. This LPS stock was further</w:t>
      </w:r>
      <w:r w:rsidR="00056597">
        <w:rPr>
          <w:rFonts w:cs="Arial"/>
        </w:rPr>
        <w:t xml:space="preserve"> diluted 1:5 for the highest 20U</w:t>
      </w:r>
      <w:r w:rsidR="00164F4F">
        <w:rPr>
          <w:rFonts w:cs="Arial"/>
        </w:rPr>
        <w:t xml:space="preserve">/mL standard used in the assay, which was then used to prepare the following 12 standards in 1:3 dilutions </w:t>
      </w:r>
      <w:r w:rsidR="00056597">
        <w:rPr>
          <w:rFonts w:cs="Arial"/>
        </w:rPr>
        <w:t>with LAL reagent water. Serum samples were prepared in endotoxin free tubes and a</w:t>
      </w:r>
      <w:r w:rsidRPr="00894AAB">
        <w:rPr>
          <w:rFonts w:cs="Arial"/>
        </w:rPr>
        <w:t xml:space="preserve"> 1:10 dilution of each sample was made on a microcentrifuge tube rack using 60 µl of sample and adding 540 µl of LAL reagent water, each </w:t>
      </w:r>
      <w:r w:rsidR="00056597">
        <w:rPr>
          <w:rFonts w:cs="Arial"/>
        </w:rPr>
        <w:t xml:space="preserve">sample </w:t>
      </w:r>
      <w:r w:rsidRPr="00894AAB">
        <w:rPr>
          <w:rFonts w:cs="Arial"/>
        </w:rPr>
        <w:t>was distrib</w:t>
      </w:r>
      <w:r>
        <w:rPr>
          <w:rFonts w:cs="Arial"/>
        </w:rPr>
        <w:t>uted to 3</w:t>
      </w:r>
      <w:r w:rsidR="00056597">
        <w:rPr>
          <w:rFonts w:cs="Arial"/>
        </w:rPr>
        <w:t xml:space="preserve"> endotoxin free</w:t>
      </w:r>
      <w:r>
        <w:rPr>
          <w:rFonts w:cs="Arial"/>
        </w:rPr>
        <w:t xml:space="preserve"> tubes containing each </w:t>
      </w:r>
      <w:r w:rsidRPr="00894AAB">
        <w:rPr>
          <w:rFonts w:cs="Arial"/>
        </w:rPr>
        <w:t>200 µl of the sample and heated for 10 min, 20 min and 30 min, respectively, at 75 °C.  Before transfer to the 96-well</w:t>
      </w:r>
      <w:r w:rsidR="00056597">
        <w:rPr>
          <w:rFonts w:cs="Arial"/>
        </w:rPr>
        <w:t xml:space="preserve"> </w:t>
      </w:r>
      <w:proofErr w:type="spellStart"/>
      <w:r w:rsidR="00056597">
        <w:rPr>
          <w:rFonts w:cs="Arial"/>
        </w:rPr>
        <w:t>endosafe</w:t>
      </w:r>
      <w:proofErr w:type="spellEnd"/>
      <w:r w:rsidRPr="00894AAB">
        <w:rPr>
          <w:rFonts w:cs="Arial"/>
        </w:rPr>
        <w:t xml:space="preserve"> plate, all samples were </w:t>
      </w:r>
      <w:proofErr w:type="gramStart"/>
      <w:r w:rsidRPr="00894AAB">
        <w:rPr>
          <w:rFonts w:cs="Arial"/>
        </w:rPr>
        <w:t>split</w:t>
      </w:r>
      <w:proofErr w:type="gramEnd"/>
      <w:r w:rsidRPr="00894AAB">
        <w:rPr>
          <w:rFonts w:cs="Arial"/>
        </w:rPr>
        <w:t xml:space="preserve"> and half of the samples were spiked with 5</w:t>
      </w:r>
      <w:r w:rsidR="00806CEE">
        <w:rPr>
          <w:rFonts w:cs="Arial"/>
        </w:rPr>
        <w:t>0µl of 2</w:t>
      </w:r>
      <w:r w:rsidRPr="00894AAB">
        <w:rPr>
          <w:rFonts w:cs="Arial"/>
        </w:rPr>
        <w:t>0U/ml LPS-standard. Next samples were pipetted to the 96-well plate, 50 µl of LAL-reagent was quickly added and mixed by tapping the side of the plate several times, then reading promptly was started at 405 nm for 2.5 hours.</w:t>
      </w:r>
      <w:r w:rsidR="00E6783A">
        <w:rPr>
          <w:rFonts w:cs="Arial"/>
        </w:rPr>
        <w:t xml:space="preserve"> </w:t>
      </w:r>
      <w:r w:rsidR="00056597" w:rsidRPr="00894AAB">
        <w:rPr>
          <w:rFonts w:cs="Arial"/>
        </w:rPr>
        <w:t xml:space="preserve">One EU is equivalent to 100 </w:t>
      </w:r>
      <w:proofErr w:type="spellStart"/>
      <w:r w:rsidR="00056597" w:rsidRPr="00894AAB">
        <w:rPr>
          <w:rFonts w:cs="Arial"/>
        </w:rPr>
        <w:t>pg</w:t>
      </w:r>
      <w:proofErr w:type="spellEnd"/>
      <w:r w:rsidR="00056597" w:rsidRPr="00894AAB">
        <w:rPr>
          <w:rFonts w:cs="Arial"/>
        </w:rPr>
        <w:t xml:space="preserve"> of E. C</w:t>
      </w:r>
      <w:r w:rsidR="00056597">
        <w:rPr>
          <w:rFonts w:cs="Arial"/>
        </w:rPr>
        <w:t>oli lipopolysaccharide. Results</w:t>
      </w:r>
      <w:r w:rsidR="005B0478">
        <w:rPr>
          <w:rFonts w:cs="Arial"/>
        </w:rPr>
        <w:t xml:space="preserve"> were</w:t>
      </w:r>
      <w:r w:rsidR="00056597" w:rsidRPr="00894AAB">
        <w:rPr>
          <w:rFonts w:cs="Arial"/>
        </w:rPr>
        <w:t xml:space="preserve"> expressed in EU/ml.</w:t>
      </w:r>
      <w:r w:rsidR="00E6783A">
        <w:rPr>
          <w:rFonts w:cs="Arial"/>
        </w:rPr>
        <w:t xml:space="preserve"> In our LPS-spiked samples we measured LPS recovery rates of 85%-100%. Importantly, serum inhibition did not differ between WT and Mdr2</w:t>
      </w:r>
      <w:r w:rsidR="00E6783A" w:rsidRPr="00E6783A">
        <w:rPr>
          <w:rFonts w:cs="Arial"/>
          <w:vertAlign w:val="superscript"/>
        </w:rPr>
        <w:t>-/-</w:t>
      </w:r>
      <w:r w:rsidR="00E6783A">
        <w:rPr>
          <w:rFonts w:cs="Arial"/>
        </w:rPr>
        <w:t xml:space="preserve"> mice.  </w:t>
      </w:r>
    </w:p>
    <w:p w14:paraId="0550AFA5" w14:textId="77777777" w:rsidR="00F96C43" w:rsidRDefault="00F96C43">
      <w:pPr>
        <w:spacing w:after="160" w:line="259" w:lineRule="auto"/>
        <w:rPr>
          <w:rFonts w:cs="Arial"/>
          <w:b/>
          <w:lang w:val="nl-NL"/>
        </w:rPr>
      </w:pPr>
      <w:r>
        <w:rPr>
          <w:rFonts w:cs="Arial"/>
          <w:b/>
          <w:lang w:val="nl-NL"/>
        </w:rPr>
        <w:br w:type="page"/>
      </w:r>
    </w:p>
    <w:p w14:paraId="6F348BD2" w14:textId="4E53F0FB" w:rsidR="00884A33" w:rsidRPr="00955A1B" w:rsidRDefault="00C552BF" w:rsidP="00884A33">
      <w:pPr>
        <w:jc w:val="both"/>
        <w:rPr>
          <w:rFonts w:eastAsia="Times New Roman"/>
          <w:b/>
          <w:lang w:val="nl-NL"/>
        </w:rPr>
      </w:pPr>
      <w:r w:rsidRPr="00955A1B">
        <w:rPr>
          <w:rFonts w:cs="Arial"/>
          <w:b/>
          <w:lang w:val="nl-NL"/>
        </w:rPr>
        <w:lastRenderedPageBreak/>
        <w:t>Microbiota analysis</w:t>
      </w:r>
    </w:p>
    <w:p w14:paraId="382BF100" w14:textId="4A715891" w:rsidR="00072D69" w:rsidRPr="009F1197" w:rsidRDefault="004F79C9" w:rsidP="004F79C9">
      <w:pPr>
        <w:jc w:val="both"/>
        <w:rPr>
          <w:rFonts w:eastAsia="AdvOT1ef757c0" w:cs="Arial"/>
          <w:u w:val="single"/>
          <w:lang w:eastAsia="zh-CN"/>
        </w:rPr>
      </w:pPr>
      <w:r w:rsidRPr="00955A1B">
        <w:rPr>
          <w:rFonts w:eastAsia="AdvOT1ef757c0" w:cs="Arial"/>
          <w:lang w:val="nl-NL" w:eastAsia="zh-CN"/>
        </w:rPr>
        <w:t xml:space="preserve">16S </w:t>
      </w:r>
      <w:proofErr w:type="spellStart"/>
      <w:r w:rsidRPr="00955A1B">
        <w:rPr>
          <w:rFonts w:eastAsia="AdvOT1ef757c0" w:cs="Arial"/>
          <w:lang w:val="nl-NL" w:eastAsia="zh-CN"/>
        </w:rPr>
        <w:t>rRNA</w:t>
      </w:r>
      <w:proofErr w:type="spellEnd"/>
      <w:r w:rsidRPr="00955A1B">
        <w:rPr>
          <w:rFonts w:eastAsia="AdvOT1ef757c0" w:cs="Arial"/>
          <w:lang w:val="nl-NL" w:eastAsia="zh-CN"/>
        </w:rPr>
        <w:t xml:space="preserve"> analysis. </w:t>
      </w:r>
      <w:r w:rsidRPr="00F05141">
        <w:rPr>
          <w:rFonts w:eastAsia="AdvOT1ef757c0" w:cs="Arial"/>
          <w:lang w:eastAsia="zh-CN"/>
        </w:rPr>
        <w:t>16S rRNA analysis was performed as previously described in (Roy et al. 2017). Briefly, fresh stool samples of mice were collected and immediately stored at −20°C. DNA was extracted using mechanical disruption (bead-beating) and phenol/chloroform-based purification. In detail, samples were suspend</w:t>
      </w:r>
      <w:r w:rsidR="00F05141">
        <w:rPr>
          <w:rFonts w:eastAsia="AdvOT1ef757c0" w:cs="Arial"/>
          <w:lang w:eastAsia="zh-CN"/>
        </w:rPr>
        <w:t xml:space="preserve">ed in a solution containing 500µl </w:t>
      </w:r>
      <w:r w:rsidRPr="00F05141">
        <w:rPr>
          <w:rFonts w:eastAsia="AdvOT1ef757c0" w:cs="Arial"/>
          <w:lang w:eastAsia="zh-CN"/>
        </w:rPr>
        <w:t>of extraction buffer (200 </w:t>
      </w:r>
      <w:proofErr w:type="spellStart"/>
      <w:r w:rsidRPr="00F05141">
        <w:rPr>
          <w:rFonts w:eastAsia="AdvOT1ef757c0" w:cs="Arial"/>
          <w:lang w:eastAsia="zh-CN"/>
        </w:rPr>
        <w:t>mM</w:t>
      </w:r>
      <w:proofErr w:type="spellEnd"/>
      <w:r w:rsidRPr="00F05141">
        <w:rPr>
          <w:rFonts w:eastAsia="AdvOT1ef757c0" w:cs="Arial"/>
          <w:lang w:eastAsia="zh-CN"/>
        </w:rPr>
        <w:t xml:space="preserve"> Tris, 20 </w:t>
      </w:r>
      <w:proofErr w:type="spellStart"/>
      <w:r w:rsidRPr="00F05141">
        <w:rPr>
          <w:rFonts w:eastAsia="AdvOT1ef757c0" w:cs="Arial"/>
          <w:lang w:eastAsia="zh-CN"/>
        </w:rPr>
        <w:t>mM</w:t>
      </w:r>
      <w:proofErr w:type="spellEnd"/>
      <w:r w:rsidRPr="00F05141">
        <w:rPr>
          <w:rFonts w:eastAsia="AdvOT1ef757c0" w:cs="Arial"/>
          <w:lang w:eastAsia="zh-CN"/>
        </w:rPr>
        <w:t xml:space="preserve"> EDTA,</w:t>
      </w:r>
      <w:r w:rsidR="00F05141">
        <w:rPr>
          <w:rFonts w:eastAsia="AdvOT1ef757c0" w:cs="Arial"/>
          <w:lang w:eastAsia="zh-CN"/>
        </w:rPr>
        <w:t xml:space="preserve"> and 200 </w:t>
      </w:r>
      <w:proofErr w:type="spellStart"/>
      <w:r w:rsidR="00F05141">
        <w:rPr>
          <w:rFonts w:eastAsia="AdvOT1ef757c0" w:cs="Arial"/>
          <w:lang w:eastAsia="zh-CN"/>
        </w:rPr>
        <w:t>mM</w:t>
      </w:r>
      <w:proofErr w:type="spellEnd"/>
      <w:r w:rsidR="00F05141">
        <w:rPr>
          <w:rFonts w:eastAsia="AdvOT1ef757c0" w:cs="Arial"/>
          <w:lang w:eastAsia="zh-CN"/>
        </w:rPr>
        <w:t xml:space="preserve"> </w:t>
      </w:r>
      <w:proofErr w:type="spellStart"/>
      <w:r w:rsidR="00F05141">
        <w:rPr>
          <w:rFonts w:eastAsia="AdvOT1ef757c0" w:cs="Arial"/>
          <w:lang w:eastAsia="zh-CN"/>
        </w:rPr>
        <w:t>NaCl</w:t>
      </w:r>
      <w:proofErr w:type="spellEnd"/>
      <w:r w:rsidR="00F05141">
        <w:rPr>
          <w:rFonts w:eastAsia="AdvOT1ef757c0" w:cs="Arial"/>
          <w:lang w:eastAsia="zh-CN"/>
        </w:rPr>
        <w:t xml:space="preserve"> [pH 8.0]), 200µl of 20% SDS, 500µl </w:t>
      </w:r>
      <w:r w:rsidRPr="00F05141">
        <w:rPr>
          <w:rFonts w:eastAsia="AdvOT1ef757c0" w:cs="Arial"/>
          <w:lang w:eastAsia="zh-CN"/>
        </w:rPr>
        <w:t xml:space="preserve">of </w:t>
      </w:r>
      <w:proofErr w:type="spellStart"/>
      <w:proofErr w:type="gramStart"/>
      <w:r w:rsidRPr="00F05141">
        <w:rPr>
          <w:rFonts w:eastAsia="AdvOT1ef757c0" w:cs="Arial"/>
          <w:lang w:eastAsia="zh-CN"/>
        </w:rPr>
        <w:t>phenol:chloroform</w:t>
      </w:r>
      <w:proofErr w:type="gramEnd"/>
      <w:r w:rsidRPr="00F05141">
        <w:rPr>
          <w:rFonts w:eastAsia="AdvOT1ef757c0" w:cs="Arial"/>
          <w:lang w:eastAsia="zh-CN"/>
        </w:rPr>
        <w:t>:isoamyl</w:t>
      </w:r>
      <w:proofErr w:type="spellEnd"/>
      <w:r w:rsidRPr="00F05141">
        <w:rPr>
          <w:rFonts w:eastAsia="AdvOT1ef757c0" w:cs="Arial"/>
          <w:lang w:eastAsia="zh-CN"/>
        </w:rPr>
        <w:t xml:space="preserve"> alcohol (24:24:1), and </w:t>
      </w:r>
      <w:r w:rsidR="00F05141">
        <w:rPr>
          <w:rFonts w:eastAsia="AdvOT1ef757c0" w:cs="Arial"/>
          <w:lang w:eastAsia="zh-CN"/>
        </w:rPr>
        <w:t>100µl</w:t>
      </w:r>
      <w:r w:rsidRPr="00F05141">
        <w:rPr>
          <w:rFonts w:eastAsia="AdvOT1ef757c0" w:cs="Arial"/>
          <w:lang w:eastAsia="zh-CN"/>
        </w:rPr>
        <w:t xml:space="preserve"> of 0.1 </w:t>
      </w:r>
      <w:proofErr w:type="spellStart"/>
      <w:r w:rsidRPr="00F05141">
        <w:rPr>
          <w:rFonts w:eastAsia="AdvOT1ef757c0" w:cs="Arial"/>
          <w:lang w:eastAsia="zh-CN"/>
        </w:rPr>
        <w:t>mM</w:t>
      </w:r>
      <w:proofErr w:type="spellEnd"/>
      <w:r w:rsidRPr="00F05141">
        <w:rPr>
          <w:rFonts w:eastAsia="AdvOT1ef757c0" w:cs="Arial"/>
          <w:lang w:eastAsia="zh-CN"/>
        </w:rPr>
        <w:t xml:space="preserve"> zirconia/silica. Samples were homogenized twice with a bead beater (</w:t>
      </w:r>
      <w:proofErr w:type="spellStart"/>
      <w:r w:rsidRPr="00F05141">
        <w:rPr>
          <w:rFonts w:eastAsia="AdvOT1ef757c0" w:cs="Arial"/>
          <w:lang w:eastAsia="zh-CN"/>
        </w:rPr>
        <w:t>BioSpec</w:t>
      </w:r>
      <w:proofErr w:type="spellEnd"/>
      <w:r w:rsidRPr="00F05141">
        <w:rPr>
          <w:rFonts w:eastAsia="AdvOT1ef757c0" w:cs="Arial"/>
          <w:lang w:eastAsia="zh-CN"/>
        </w:rPr>
        <w:t xml:space="preserve">) for 2 min. After precipitation of DNA, crude DNA extracts were resuspended in </w:t>
      </w:r>
      <w:r w:rsidR="00DD5114">
        <w:rPr>
          <w:rFonts w:eastAsia="AdvOT1ef757c0" w:cs="Arial"/>
          <w:lang w:eastAsia="zh-CN"/>
        </w:rPr>
        <w:t>Tris, EDTA (TE) buffer with 100µ</w:t>
      </w:r>
      <w:r w:rsidRPr="00F05141">
        <w:rPr>
          <w:rFonts w:eastAsia="AdvOT1ef757c0" w:cs="Arial"/>
          <w:lang w:eastAsia="zh-CN"/>
        </w:rPr>
        <w:t xml:space="preserve">g/mL </w:t>
      </w:r>
      <w:proofErr w:type="spellStart"/>
      <w:r w:rsidRPr="00F05141">
        <w:rPr>
          <w:rFonts w:eastAsia="AdvOT1ef757c0" w:cs="Arial"/>
          <w:lang w:eastAsia="zh-CN"/>
        </w:rPr>
        <w:t>RNAse</w:t>
      </w:r>
      <w:proofErr w:type="spellEnd"/>
      <w:r w:rsidRPr="00F05141">
        <w:rPr>
          <w:rFonts w:eastAsia="AdvOT1ef757c0" w:cs="Arial"/>
          <w:lang w:eastAsia="zh-CN"/>
        </w:rPr>
        <w:t xml:space="preserve"> and column-purified to remove PCR inhibitors (</w:t>
      </w:r>
      <w:proofErr w:type="spellStart"/>
      <w:r w:rsidRPr="00F05141">
        <w:rPr>
          <w:rFonts w:eastAsia="AdvOT1ef757c0" w:cs="Arial"/>
          <w:lang w:eastAsia="zh-CN"/>
        </w:rPr>
        <w:t>BioBasic</w:t>
      </w:r>
      <w:proofErr w:type="spellEnd"/>
      <w:r w:rsidRPr="00F05141">
        <w:rPr>
          <w:rFonts w:eastAsia="AdvOT1ef757c0" w:cs="Arial"/>
          <w:lang w:eastAsia="zh-CN"/>
        </w:rPr>
        <w:t>). Amplification of the V4 region (F515/R806) of the 16S rRNA gene was performed according to previously described protocols (</w:t>
      </w:r>
      <w:hyperlink r:id="rId8" w:history="1">
        <w:r w:rsidRPr="00F05141">
          <w:rPr>
            <w:rFonts w:eastAsia="AdvOT1ef757c0" w:cs="Arial"/>
            <w:lang w:eastAsia="zh-CN"/>
          </w:rPr>
          <w:t>Caporaso et al., 2011</w:t>
        </w:r>
      </w:hyperlink>
      <w:r w:rsidRPr="00F05141">
        <w:rPr>
          <w:rFonts w:eastAsia="AdvOT1ef757c0" w:cs="Arial"/>
          <w:lang w:eastAsia="zh-CN"/>
        </w:rPr>
        <w:t xml:space="preserve">). Samples were sequenced on an Illumina </w:t>
      </w:r>
      <w:proofErr w:type="spellStart"/>
      <w:r w:rsidRPr="00F05141">
        <w:rPr>
          <w:rFonts w:eastAsia="AdvOT1ef757c0" w:cs="Arial"/>
          <w:lang w:eastAsia="zh-CN"/>
        </w:rPr>
        <w:t>MiSeq</w:t>
      </w:r>
      <w:proofErr w:type="spellEnd"/>
      <w:r w:rsidRPr="00F05141">
        <w:rPr>
          <w:rFonts w:eastAsia="AdvOT1ef757c0" w:cs="Arial"/>
          <w:lang w:eastAsia="zh-CN"/>
        </w:rPr>
        <w:t xml:space="preserve"> platform (PE250). Sequencing analysis was performed according to previously described computational workflow </w:t>
      </w:r>
      <w:r w:rsidRPr="00F05141">
        <w:rPr>
          <w:rFonts w:eastAsia="AdvOT1ef757c0" w:cs="Arial"/>
          <w:lang w:eastAsia="zh-CN"/>
        </w:rPr>
        <w:fldChar w:fldCharType="begin" w:fldLock="1"/>
      </w:r>
      <w:r w:rsidR="00EE7C12">
        <w:rPr>
          <w:rFonts w:eastAsia="AdvOT1ef757c0" w:cs="Arial"/>
          <w:lang w:eastAsia="zh-CN"/>
        </w:rPr>
        <w:instrText>ADDIN CSL_CITATION {"citationItems":[{"id":"ITEM-1","itemData":{"DOI":"10.1016/j.celrep.2017.12.027","ISSN":"2211-1247","PMID":"29281837","abstract":"Contradicting observations have been made regarding the relative contributions of immune sensors to shaping the microbiome, yet the reasons for these discrepancies are not fully understood. Here, we investigated the contribution of environmental factors in shaping the microbiome in mice deficient in adaptive immunity (Rag2-/-) and Nlrp6, an immune sensor proposed to be involved in regulation of microbiota composition. In conventionally housed Nlrp6-/-mice, familial transmission has a significant effect on microbiota composition, complicating the analysis of genotype-dependent effects. Notably, after rederivation into standardized specific pathogen-free (SPF) conditions devoid of pathobionts, microbiota composition was indistinguishable between WT, Rag2-/-, and Nlrp6-/-mice. However, upon reintroduction of a pathobiont-containing community host, genotype-dependent differences reappear, specifically affecting the relative abundance of pathobionts such as Helicobacter spp. Our results show that the impact of Nlrp6 and also of adaptive immunity on microbiota composition depends on community structure and primarily influences pathobionts but not commensals.","author":[{"dropping-particle":"","family":"Gálvez","given":"Eric J C","non-dropping-particle":"","parse-names":false,"suffix":""},{"dropping-particle":"","family":"Iljazovic","given":"Aida","non-dropping-particle":"","parse-names":false,"suffix":""},{"dropping-particle":"","family":"Gronow","given":"Achim","non-dropping-particle":"","parse-names":false,"suffix":""},{"dropping-particle":"","family":"Flavell","given":"Richard","non-dropping-particle":"","parse-names":false,"suffix":""},{"dropping-particle":"","family":"Strowig","given":"Till","non-dropping-particle":"","parse-names":false,"suffix":""}],"container-title":"Cell reports","id":"ITEM-1","issue":"13","issued":{"date-parts":[["2017","12"]]},"page":"3914-3926","title":"Shaping of Intestinal Microbiota in Nlrp6- and Rag2-Deficient Mice Depends on Community Structure.","type":"article-journal","volume":"21"},"uris":["http://www.mendeley.com/documents/?uuid=067ed566-aa4e-302b-bbf6-deb34af490d5","http://www.mendeley.com/documents/?uuid=ccbe9559-6c2a-4ee1-9c7b-d001fc9edba0"]}],"mendeley":{"formattedCitation":"(4)","plainTextFormattedCitation":"(4)","previouslyFormattedCitation":"(4)"},"properties":{"noteIndex":0},"schema":"https://github.com/citation-style-language/schema/raw/master/csl-citation.json"}</w:instrText>
      </w:r>
      <w:r w:rsidRPr="00F05141">
        <w:rPr>
          <w:rFonts w:eastAsia="AdvOT1ef757c0" w:cs="Arial"/>
          <w:lang w:eastAsia="zh-CN"/>
        </w:rPr>
        <w:fldChar w:fldCharType="separate"/>
      </w:r>
      <w:r w:rsidR="009F1197" w:rsidRPr="009F1197">
        <w:rPr>
          <w:rFonts w:eastAsia="AdvOT1ef757c0" w:cs="Arial"/>
          <w:noProof/>
          <w:lang w:eastAsia="zh-CN"/>
        </w:rPr>
        <w:t>(4)</w:t>
      </w:r>
      <w:r w:rsidRPr="00F05141">
        <w:rPr>
          <w:rFonts w:eastAsia="AdvOT1ef757c0" w:cs="Arial"/>
          <w:lang w:eastAsia="zh-CN"/>
        </w:rPr>
        <w:fldChar w:fldCharType="end"/>
      </w:r>
      <w:r w:rsidRPr="00F05141">
        <w:rPr>
          <w:rFonts w:eastAsia="AdvOT1ef757c0" w:cs="Arial"/>
          <w:lang w:eastAsia="zh-CN"/>
        </w:rPr>
        <w:t>. In brief, obtained reads were assembled, quality controlled and clustered using Usearch8.1 software package (http://www.drive5.com/usearch/). Furthermore, reads were merged using -</w:t>
      </w:r>
      <w:proofErr w:type="spellStart"/>
      <w:r w:rsidRPr="00F05141">
        <w:rPr>
          <w:rFonts w:eastAsia="AdvOT1ef757c0" w:cs="Arial"/>
          <w:lang w:eastAsia="zh-CN"/>
        </w:rPr>
        <w:t>fastq_mergepairs</w:t>
      </w:r>
      <w:proofErr w:type="spellEnd"/>
      <w:r w:rsidRPr="00F05141">
        <w:rPr>
          <w:rFonts w:eastAsia="AdvOT1ef757c0" w:cs="Arial"/>
          <w:lang w:eastAsia="zh-CN"/>
        </w:rPr>
        <w:t xml:space="preserve"> –with </w:t>
      </w:r>
      <w:proofErr w:type="spellStart"/>
      <w:r w:rsidRPr="00F05141">
        <w:rPr>
          <w:rFonts w:eastAsia="AdvOT1ef757c0" w:cs="Arial"/>
          <w:lang w:eastAsia="zh-CN"/>
        </w:rPr>
        <w:t>fastq_maxdiffs</w:t>
      </w:r>
      <w:proofErr w:type="spellEnd"/>
      <w:r w:rsidRPr="00F05141">
        <w:rPr>
          <w:rFonts w:eastAsia="AdvOT1ef757c0" w:cs="Arial"/>
          <w:lang w:eastAsia="zh-CN"/>
        </w:rPr>
        <w:t xml:space="preserve"> 30 and quality filtering was done with </w:t>
      </w:r>
      <w:proofErr w:type="spellStart"/>
      <w:r w:rsidRPr="00F05141">
        <w:rPr>
          <w:rFonts w:eastAsia="AdvOT1ef757c0" w:cs="Arial"/>
          <w:lang w:eastAsia="zh-CN"/>
        </w:rPr>
        <w:t>fastq_filter</w:t>
      </w:r>
      <w:proofErr w:type="spellEnd"/>
      <w:r w:rsidRPr="00F05141">
        <w:rPr>
          <w:rFonts w:eastAsia="AdvOT1ef757c0" w:cs="Arial"/>
          <w:lang w:eastAsia="zh-CN"/>
        </w:rPr>
        <w:t xml:space="preserve"> (-</w:t>
      </w:r>
      <w:proofErr w:type="spellStart"/>
      <w:r w:rsidRPr="00F05141">
        <w:rPr>
          <w:rFonts w:eastAsia="AdvOT1ef757c0" w:cs="Arial"/>
          <w:lang w:eastAsia="zh-CN"/>
        </w:rPr>
        <w:t>fastq_maxee</w:t>
      </w:r>
      <w:proofErr w:type="spellEnd"/>
      <w:r w:rsidRPr="00F05141">
        <w:rPr>
          <w:rFonts w:eastAsia="AdvOT1ef757c0" w:cs="Arial"/>
          <w:lang w:eastAsia="zh-CN"/>
        </w:rPr>
        <w:t xml:space="preserve"> 1), minimum read length 200 </w:t>
      </w:r>
      <w:proofErr w:type="spellStart"/>
      <w:r w:rsidRPr="00F05141">
        <w:rPr>
          <w:rFonts w:eastAsia="AdvOT1ef757c0" w:cs="Arial"/>
          <w:lang w:eastAsia="zh-CN"/>
        </w:rPr>
        <w:t>bp.</w:t>
      </w:r>
      <w:proofErr w:type="spellEnd"/>
      <w:r w:rsidRPr="00F05141">
        <w:rPr>
          <w:rFonts w:eastAsia="AdvOT1ef757c0" w:cs="Arial"/>
          <w:lang w:eastAsia="zh-CN"/>
        </w:rPr>
        <w:t xml:space="preserve"> The OTU clusters and representative sequences were determin</w:t>
      </w:r>
      <w:r w:rsidR="0025523C">
        <w:rPr>
          <w:rFonts w:eastAsia="AdvOT1ef757c0" w:cs="Arial"/>
          <w:lang w:eastAsia="zh-CN"/>
        </w:rPr>
        <w:t xml:space="preserve">ed using the UPARSE algorithm </w:t>
      </w:r>
      <w:r w:rsidR="0025523C">
        <w:rPr>
          <w:rFonts w:eastAsia="AdvOT1ef757c0" w:cs="Arial"/>
          <w:lang w:eastAsia="zh-CN"/>
        </w:rPr>
        <w:fldChar w:fldCharType="begin" w:fldLock="1"/>
      </w:r>
      <w:r w:rsidR="00EE7C12">
        <w:rPr>
          <w:rFonts w:eastAsia="AdvOT1ef757c0" w:cs="Arial"/>
          <w:lang w:eastAsia="zh-CN"/>
        </w:rPr>
        <w:instrText>ADDIN CSL_CITATION {"citationItems":[{"id":"ITEM-1","itemData":{"DOI":"10.1038/nmeth.2604","ISBN":"1548-7105","ISSN":"15487091","PMID":"23955772","abstract":"Amplified marker-gene sequences can be used to understand microbial community structure, but they</w:instrText>
      </w:r>
      <w:r w:rsidR="00EE7C12">
        <w:rPr>
          <w:rFonts w:eastAsia="AdvOT1ef757c0" w:cs="Arial" w:hint="eastAsia"/>
          <w:lang w:eastAsia="zh-CN"/>
        </w:rPr>
        <w:instrText xml:space="preserve"> suffer from a high level of sequencing and amplification artifacts. The UPARSE pipeline reports operational taxonomic unit (OTU) sequences with </w:instrText>
      </w:r>
      <w:r w:rsidR="00EE7C12">
        <w:rPr>
          <w:rFonts w:eastAsia="AdvOT1ef757c0" w:cs="Arial" w:hint="eastAsia"/>
          <w:lang w:eastAsia="zh-CN"/>
        </w:rPr>
        <w:instrText>≤</w:instrText>
      </w:r>
      <w:r w:rsidR="00EE7C12">
        <w:rPr>
          <w:rFonts w:eastAsia="AdvOT1ef757c0" w:cs="Arial" w:hint="eastAsia"/>
          <w:lang w:eastAsia="zh-CN"/>
        </w:rPr>
        <w:instrText>1% incorrect bases in artificial microbial community tests, compared with &gt;3% incorrect bases commonly report</w:instrText>
      </w:r>
      <w:r w:rsidR="00EE7C12">
        <w:rPr>
          <w:rFonts w:eastAsia="AdvOT1ef757c0" w:cs="Arial"/>
          <w:lang w:eastAsia="zh-CN"/>
        </w:rPr>
        <w:instrText>ed by other methods. The improved accuracy results in far fewer OTUs, consistently closer to the expected number of species in a community.","author":[{"dropping-particle":"","family":"Edgar","given":"Robert C.","non-dropping-particle":"","parse-names":false,"suffix":""}],"container-title":"Nature Methods","id":"ITEM-1","issue":"10","issued":{"date-parts":[["2013"]]},"page":"996-998","title":"UPARSE: Highly accurate OTU sequences from microbial amplicon reads","type":"article-journal","volume":"10"},"uris":["http://www.mendeley.com/documents/?uuid=d117f27a-48ae-4997-88ea-a2577df15616"]}],"mendeley":{"formattedCitation":"(5)","plainTextFormattedCitation":"(5)","previouslyFormattedCitation":"(5)"},"properties":{"noteIndex":0},"schema":"https://github.com/citation-style-language/schema/raw/master/csl-citation.json"}</w:instrText>
      </w:r>
      <w:r w:rsidR="0025523C">
        <w:rPr>
          <w:rFonts w:eastAsia="AdvOT1ef757c0" w:cs="Arial"/>
          <w:lang w:eastAsia="zh-CN"/>
        </w:rPr>
        <w:fldChar w:fldCharType="separate"/>
      </w:r>
      <w:r w:rsidR="009F1197" w:rsidRPr="009F1197">
        <w:rPr>
          <w:rFonts w:eastAsia="AdvOT1ef757c0" w:cs="Arial"/>
          <w:noProof/>
          <w:lang w:eastAsia="zh-CN"/>
        </w:rPr>
        <w:t>(5)</w:t>
      </w:r>
      <w:r w:rsidR="0025523C">
        <w:rPr>
          <w:rFonts w:eastAsia="AdvOT1ef757c0" w:cs="Arial"/>
          <w:lang w:eastAsia="zh-CN"/>
        </w:rPr>
        <w:fldChar w:fldCharType="end"/>
      </w:r>
      <w:r w:rsidRPr="00F05141">
        <w:rPr>
          <w:rFonts w:eastAsia="AdvOT1ef757c0" w:cs="Arial"/>
          <w:lang w:eastAsia="zh-CN"/>
        </w:rPr>
        <w:t>, followed by taxonomy assignment using the Sil</w:t>
      </w:r>
      <w:r w:rsidR="0025523C">
        <w:rPr>
          <w:rFonts w:eastAsia="AdvOT1ef757c0" w:cs="Arial"/>
          <w:lang w:eastAsia="zh-CN"/>
        </w:rPr>
        <w:t xml:space="preserve">va database v128 </w:t>
      </w:r>
      <w:r w:rsidR="0025523C">
        <w:rPr>
          <w:rFonts w:eastAsia="AdvOT1ef757c0" w:cs="Arial"/>
          <w:lang w:eastAsia="zh-CN"/>
        </w:rPr>
        <w:fldChar w:fldCharType="begin" w:fldLock="1"/>
      </w:r>
      <w:r w:rsidR="00EE7C12">
        <w:rPr>
          <w:rFonts w:eastAsia="AdvOT1ef757c0" w:cs="Arial"/>
          <w:lang w:eastAsia="zh-CN"/>
        </w:rPr>
        <w:instrText>ADDIN CSL_CITATION {"citationItems":[{"id":"ITEM-1","itemData":{"DOI":"10.1093/nar/gks1219","ISBN":"0305-1048","ISSN":"03051048","PMID":"23193283","abstract":"SILVA (from Latin silva, forest, http://www.arb-silva.de) is a comprehensive web resource for up to date, quality-controlled databases of aligned ribosomal RNA (rRNA) gene sequences from the Bacteria, Archaea and Eukaryota domains and supplementary online services. The referred database release 111 (July 2012) contains 3 194 778 small subunit and 288 717 large subunit rRNA gene sequences. Since the initial description of the project, substantial new features have been introduced, including advanced quality control procedures, an improved rRNA gene aligner, online tools for probe and primer evaluation and optimized browsing, searching and downloading on the website. Furthermore, the extensively curated SILVA taxonomy and the new non-redundant SILVA datasets provide an ideal reference for high-throughput classification of data from next-generation sequencing approaches.","author":[{"dropping-particle":"","family":"Quast","given":"Christian","non-dropping-particle":"","parse-names":false,"suffix":""},{"dropping-particle":"","family":"Pruesse","given":"Elmar","non-dropping-particle":"","parse-names":false,"suffix":""},{"dropping-particle":"","family":"Yilmaz","given":"Pelin","non-dropping-particle":"","parse-names":false,"suffix":""},{"dropping-particle":"","family":"Gerken","given":"Jan","non-dropping-particle":"","parse-names":false,"suffix":""},{"dropping-particle":"","family":"Schweer","given":"Timmy","non-dropping-particle":"","parse-names":false,"suffix":""},{"dropping-particle":"","family":"Yarza","given":"Pablo","non-dropping-particle":"","parse-names":false,"suffix":""},{"dropping-particle":"","family":"Peplies","given":"Jörg","non-dropping-particle":"","parse-names":false,"suffix":""},{"dropping-particle":"","family":"Glöckner","given":"Frank Oliver","non-dropping-particle":"","parse-names":false,"suffix":""}],"container-title":"Nucleic Acids Research","id":"ITEM-1","issue":"D1","issued":{"date-parts":[["2013"]]},"title":"The SILVA ribosomal RNA gene database project: Improved data processing and web-based tools","type":"article-journal","volume":"41"},"uris":["http://www.mendeley.com/documents/?uuid=fc081299-db1e-4fa2-8cdc-9b47cc864606"]}],"mendeley":{"formattedCitation":"(6)","plainTextFormattedCitation":"(6)","previouslyFormattedCitation":"(6)"},"properties":{"noteIndex":0},"schema":"https://github.com/citation-style-language/schema/raw/master/csl-citation.json"}</w:instrText>
      </w:r>
      <w:r w:rsidR="0025523C">
        <w:rPr>
          <w:rFonts w:eastAsia="AdvOT1ef757c0" w:cs="Arial"/>
          <w:lang w:eastAsia="zh-CN"/>
        </w:rPr>
        <w:fldChar w:fldCharType="separate"/>
      </w:r>
      <w:r w:rsidR="009F1197" w:rsidRPr="009F1197">
        <w:rPr>
          <w:rFonts w:eastAsia="AdvOT1ef757c0" w:cs="Arial"/>
          <w:noProof/>
          <w:lang w:eastAsia="zh-CN"/>
        </w:rPr>
        <w:t>(6)</w:t>
      </w:r>
      <w:r w:rsidR="0025523C">
        <w:rPr>
          <w:rFonts w:eastAsia="AdvOT1ef757c0" w:cs="Arial"/>
          <w:lang w:eastAsia="zh-CN"/>
        </w:rPr>
        <w:fldChar w:fldCharType="end"/>
      </w:r>
      <w:r w:rsidR="0025523C">
        <w:rPr>
          <w:rFonts w:eastAsia="AdvOT1ef757c0" w:cs="Arial"/>
          <w:lang w:eastAsia="zh-CN"/>
        </w:rPr>
        <w:t xml:space="preserve"> and the RDP Classifier </w:t>
      </w:r>
      <w:r w:rsidR="0025523C">
        <w:rPr>
          <w:rFonts w:eastAsia="AdvOT1ef757c0" w:cs="Arial"/>
          <w:lang w:eastAsia="zh-CN"/>
        </w:rPr>
        <w:fldChar w:fldCharType="begin" w:fldLock="1"/>
      </w:r>
      <w:r w:rsidR="00EE7C12">
        <w:rPr>
          <w:rFonts w:eastAsia="AdvOT1ef757c0" w:cs="Arial"/>
          <w:lang w:eastAsia="zh-CN"/>
        </w:rPr>
        <w:instrText>ADDIN CSL_CITATION {"citationItems":[{"id":"ITEM-1","itemData":{"DOI":"10.1128/AEM.00062-07","ISBN":"0099-2240 (Print)\\r0099-2240 (Linking)","ISSN":"00992240","PMID":"17586664","abstract":"The Ribosomal Database Project (RDP) Classifier, a naïve Bayesian classifier, can rapidly and accurately classify bacterial 16S rRNA sequences into the new higher-order taxonomy proposed in Bergey's Taxonomic Outline of the Prokaryotes (2nd ed., release 5.0, Springer-Verlag, New York, NY, 2004). It provides taxonomic assignments from domain to genus, with confidence estimates for each assignment. The majority of classifications (98%) were of high estimated confidence (&gt; or = 95%) and high accuracy (98%). In addition to being tested with the corpus of 5,014 type strain sequences from Bergey's outline, the RDP Classifier was tested with a corpus of 23,095 rRNA sequences as assigned by the NCBI into their alternative higher-order taxonomy. The results from leave-one-out testing on both corpora show that the overall accuracies at all levels of confidence for near-full-length and 400-base segments were 89% or above down to the genus level, and the majority of the classification errors appear to be due to anomalies in the current taxonomies. For shorter rRNA segments, such as those that might be generated by pyrosequencing, the error rate varied greatly over the length of the 16S rRNA gene, with segments around the V2 and V4 variable regions giving the lowest error rates. The RDP Classifier is suitable both for the analysis of single rRNA sequences and for the analysis of libraries of thousands of sequences. Another related tool, RDP Library Compare, was developed to facilitate microbial-community comparison based on 16S rRNA gene sequence libraries. It combines the RDP Classifier with a statistical test to flag taxa differentially represented between samples. The RDP Classifier and RDP Library Compare are available online at http://rdp.cme.msu.edu/.","author":[{"dropping-particle":"","family":"Wang","given":"Qiong","non-dropping-particle":"","parse-names":false,"suffix":""},{"dropping-particle":"","family":"Garrity","given":"George M.","non-dropping-particle":"","parse-names":false,"suffix":""},{"dropping-particle":"","family":"Tiedje","given":"James M.","non-dropping-particle":"","parse-names":false,"suffix":""},{"dropping-particle":"","family":"Cole","given":"James R.","non-dropping-particle":"","parse-names":false,"suffix":""}],"container-title":"Applied and Environmental Microbiology","id":"ITEM-1","issue":"16","issued":{"date-parts":[["2007"]]},"page":"5261-5267","title":"Naïve Bayesian classifier for rapid assignment of rRNA sequences into the new bacterial taxonomy","type":"article-journal","volume":"73"},"uris":["http://www.mendeley.com/documents/?uuid=04613111-8e89-440f-b218-8b0cfa3e3b25"]}],"mendeley":{"formattedCitation":"(7)","plainTextFormattedCitation":"(7)","previouslyFormattedCitation":"(7)"},"properties":{"noteIndex":0},"schema":"https://github.com/citation-style-language/schema/raw/master/csl-citation.json"}</w:instrText>
      </w:r>
      <w:r w:rsidR="0025523C">
        <w:rPr>
          <w:rFonts w:eastAsia="AdvOT1ef757c0" w:cs="Arial"/>
          <w:lang w:eastAsia="zh-CN"/>
        </w:rPr>
        <w:fldChar w:fldCharType="separate"/>
      </w:r>
      <w:r w:rsidR="009F1197" w:rsidRPr="009F1197">
        <w:rPr>
          <w:rFonts w:eastAsia="AdvOT1ef757c0" w:cs="Arial"/>
          <w:noProof/>
          <w:lang w:eastAsia="zh-CN"/>
        </w:rPr>
        <w:t>(7)</w:t>
      </w:r>
      <w:r w:rsidR="0025523C">
        <w:rPr>
          <w:rFonts w:eastAsia="AdvOT1ef757c0" w:cs="Arial"/>
          <w:lang w:eastAsia="zh-CN"/>
        </w:rPr>
        <w:fldChar w:fldCharType="end"/>
      </w:r>
      <w:r w:rsidR="0025523C">
        <w:rPr>
          <w:rFonts w:eastAsia="AdvOT1ef757c0" w:cs="Arial"/>
          <w:lang w:eastAsia="zh-CN"/>
        </w:rPr>
        <w:t xml:space="preserve"> </w:t>
      </w:r>
      <w:r w:rsidRPr="00F05141">
        <w:rPr>
          <w:rFonts w:eastAsia="AdvOT1ef757c0" w:cs="Arial"/>
          <w:lang w:eastAsia="zh-CN"/>
        </w:rPr>
        <w:t>with a bootstrap confidence cutoff of 80%. The OTU absolute abundance table and mapping file were used for statistical analyses and data visualization in the R statistical programming environment (</w:t>
      </w:r>
      <w:hyperlink r:id="rId9" w:history="1">
        <w:r w:rsidRPr="00F05141">
          <w:rPr>
            <w:rFonts w:eastAsia="AdvOT1ef757c0"/>
            <w:lang w:eastAsia="zh-CN"/>
          </w:rPr>
          <w:t>http://www.rproject.org</w:t>
        </w:r>
      </w:hyperlink>
      <w:r w:rsidRPr="00F05141">
        <w:rPr>
          <w:rFonts w:eastAsia="AdvOT1ef757c0" w:cs="Arial"/>
          <w:lang w:eastAsia="zh-CN"/>
        </w:rPr>
        <w:t xml:space="preserve">) package </w:t>
      </w:r>
      <w:proofErr w:type="spellStart"/>
      <w:r w:rsidRPr="00F05141">
        <w:rPr>
          <w:rFonts w:eastAsia="AdvOT1ef757c0" w:cs="Arial"/>
          <w:lang w:eastAsia="zh-CN"/>
        </w:rPr>
        <w:t>phyloseq</w:t>
      </w:r>
      <w:proofErr w:type="spellEnd"/>
      <w:r w:rsidR="00DD316E">
        <w:rPr>
          <w:rFonts w:eastAsia="AdvOT1ef757c0" w:cs="Arial"/>
          <w:lang w:eastAsia="zh-CN"/>
        </w:rPr>
        <w:fldChar w:fldCharType="begin" w:fldLock="1"/>
      </w:r>
      <w:r w:rsidR="00EE7C12">
        <w:rPr>
          <w:rFonts w:eastAsia="AdvOT1ef757c0" w:cs="Arial"/>
          <w:lang w:eastAsia="zh-CN"/>
        </w:rPr>
        <w:instrText>ADDIN CSL_CITATION {"citationItems":[{"id":"ITEM-1","itemData":{"DOI":"10.1371/journal.pone.0061217","abstract":"BackgroundThe analysis of microbial communities through DNA sequencing brings many challenges: the integration of different types of data with methods from ecology, genetics, phylogenetics, multivariate statistics, visualization and testing. With the increased breadth of experimental designs now being pursued, project-specific statistical analyses are often needed, and these analyses are often difficult (or impossible) for peer researchers to independently reproduce. The vast majority of the requisite tools for performing these analyses reproducibly are already implemented in R and its extensions (packages), but with limited support for high throughput microbiome census data.ResultsHere we describe a software project, phyloseq, dedicated to the object-oriented representation and analysis of microbiome census data in R. It supports importing data from a variety of common formats, as well as many analysis techniques. These include calibration, filtering, subsetting, agglomeration, multi-table comparisons, diversity analysis, parallelized Fast UniFrac, ordination methods, and production of publication-quality graphics; all in a manner that is easy to document, share, and modify. We show how to apply functions from other R packages to phyloseq-represented data, illustrating the availability of a large number of open source analysis techniques. We discuss the use of phyloseq with tools for reproducible research, a practice common in other fields but still rare in the analysis of highly parallel microbiome census data. We have made available all of the materials necessary to completely reproduce the analysis and figures included in this article, an example of best practices for reproducible research.ConclusionsThe phyloseq project for R is a new open-source software package, freely available on the web from both GitHub and Bioconductor.","author":[{"dropping-particle":"","family":"McMurdie","given":"Paul J.","non-dropping-particle":"","parse-names":false,"suffix":""},{"dropping-particle":"","family":"Holmes","given":"Susan","non-dropping-particle":"","parse-names":false,"suffix":""}],"container-title":"PLoS ONE","id":"ITEM-1","issue":"4","issued":{"date-parts":[["2013","4"]]},"page":"e61217","title":"phyloseq: An R Package for Reproducible Interactive Analysis and Graphics of Microbiome Census Data","title-short":"phyloseq","type":"article-journal","volume":"8"},"uris":["http://www.mendeley.com/documents/?uuid=fb3ef994-19ef-4902-a57f-140646b62545"]}],"mendeley":{"formattedCitation":"(8)","plainTextFormattedCitation":"(8)","previouslyFormattedCitation":"(8)"},"properties":{"noteIndex":0},"schema":"https://github.com/citation-style-language/schema/raw/master/csl-citation.json"}</w:instrText>
      </w:r>
      <w:r w:rsidR="00DD316E">
        <w:rPr>
          <w:rFonts w:eastAsia="AdvOT1ef757c0" w:cs="Arial"/>
          <w:lang w:eastAsia="zh-CN"/>
        </w:rPr>
        <w:fldChar w:fldCharType="separate"/>
      </w:r>
      <w:r w:rsidR="009F1197" w:rsidRPr="009F1197">
        <w:rPr>
          <w:rFonts w:eastAsia="AdvOT1ef757c0" w:cs="Arial"/>
          <w:noProof/>
          <w:lang w:eastAsia="zh-CN"/>
        </w:rPr>
        <w:t>(8)</w:t>
      </w:r>
      <w:r w:rsidR="00DD316E">
        <w:rPr>
          <w:rFonts w:eastAsia="AdvOT1ef757c0" w:cs="Arial"/>
          <w:lang w:eastAsia="zh-CN"/>
        </w:rPr>
        <w:fldChar w:fldCharType="end"/>
      </w:r>
      <w:r w:rsidRPr="00F05141">
        <w:rPr>
          <w:rFonts w:eastAsia="AdvOT1ef757c0" w:cs="Arial"/>
          <w:lang w:eastAsia="zh-CN"/>
        </w:rPr>
        <w:t xml:space="preserve">. To determine differences in microbial communities between microbiota settings, the </w:t>
      </w:r>
      <w:proofErr w:type="spellStart"/>
      <w:r w:rsidRPr="00F05141">
        <w:rPr>
          <w:rFonts w:eastAsia="AdvOT1ef757c0" w:cs="Arial"/>
          <w:lang w:eastAsia="zh-CN"/>
        </w:rPr>
        <w:t>LEfSe</w:t>
      </w:r>
      <w:proofErr w:type="spellEnd"/>
      <w:r w:rsidRPr="00F05141">
        <w:rPr>
          <w:rFonts w:eastAsia="AdvOT1ef757c0" w:cs="Arial"/>
          <w:lang w:eastAsia="zh-CN"/>
        </w:rPr>
        <w:t xml:space="preserve"> method was used</w:t>
      </w:r>
      <w:r w:rsidR="00DD316E">
        <w:rPr>
          <w:rFonts w:eastAsia="AdvOT1ef757c0" w:cs="Arial"/>
          <w:lang w:eastAsia="zh-CN"/>
        </w:rPr>
        <w:fldChar w:fldCharType="begin" w:fldLock="1"/>
      </w:r>
      <w:r w:rsidR="00EE7C12">
        <w:rPr>
          <w:rFonts w:eastAsia="AdvOT1ef757c0" w:cs="Arial"/>
          <w:lang w:eastAsia="zh-CN"/>
        </w:rPr>
        <w:instrText>ADDIN CSL_CITATION {"citationItems":[{"id":"ITEM-1","itemData":{"DOI":"10.1186/gb-2011-12-6-r60","ISBN":"1465-6914 (Electronic)\\n1465-6906 (Linking)","ISSN":"14747596","PMID":"21702898","abstract":"This study describes and validates a new method for metagenomic biomarker discovery by way of class comparison, tests of biological consistency and effect size estimation. This addresses the challenge of finding organisms, genes, or pathways that consistently explain the differences between two or more microbial communities, which is a central problem to the study of metagenomics. We extensively validate our method on several microbiomes and a convenient online interface for the method is provided at \\n                  http://huttenhower.sph.harvard.edu/lefse/\\n                  \\n                .","author":[{"dropping-particle":"","family":"Segata","given":"Nicola","non-dropping-particle":"","parse-names":false,"suffix":""},{"dropping-particle":"","family":"Izard","given":"Jacques","non-dropping-particle":"","parse-names":false,"suffix":""},{"dropping-particle":"","family":"Waldron","given":"Levi","non-dropping-particle":"","parse-names":false,"suffix":""},{"dropping-particle":"","family":"Gevers","given":"Dirk","non-dropping-particle":"","parse-names":false,"suffix":""},{"dropping-particle":"","family":"Miropolsky","given":"Larisa","non-dropping-particle":"","parse-names":false,"suffix":""},{"dropping-particle":"","family":"Garrett","given":"Wendy S.","non-dropping-particle":"","parse-names":false,"suffix":""},{"dropping-particle":"","family":"Huttenhower","given":"Curtis","non-dropping-particle":"","parse-names":false,"suffix":""}],"container-title":"Genome Biology","id":"ITEM-1","issue":"6","issued":{"date-parts":[["2011"]]},"title":"Metagenomic biomarker discovery and explanation","type":"article-journal","volume":"12"},"uris":["http://www.mendeley.com/documents/?uuid=7a8acc95-78be-4c12-9786-84dd3e146123"]}],"mendeley":{"formattedCitation":"(9)","plainTextFormattedCitation":"(9)","previouslyFormattedCitation":"(9)"},"properties":{"noteIndex":0},"schema":"https://github.com/citation-style-language/schema/raw/master/csl-citation.json"}</w:instrText>
      </w:r>
      <w:r w:rsidR="00DD316E">
        <w:rPr>
          <w:rFonts w:eastAsia="AdvOT1ef757c0" w:cs="Arial"/>
          <w:lang w:eastAsia="zh-CN"/>
        </w:rPr>
        <w:fldChar w:fldCharType="separate"/>
      </w:r>
      <w:r w:rsidR="009F1197" w:rsidRPr="009F1197">
        <w:rPr>
          <w:rFonts w:eastAsia="AdvOT1ef757c0" w:cs="Arial"/>
          <w:noProof/>
          <w:lang w:eastAsia="zh-CN"/>
        </w:rPr>
        <w:t>(9)</w:t>
      </w:r>
      <w:r w:rsidR="00DD316E">
        <w:rPr>
          <w:rFonts w:eastAsia="AdvOT1ef757c0" w:cs="Arial"/>
          <w:lang w:eastAsia="zh-CN"/>
        </w:rPr>
        <w:fldChar w:fldCharType="end"/>
      </w:r>
      <w:r w:rsidR="00DD316E">
        <w:rPr>
          <w:rFonts w:eastAsia="AdvOT1ef757c0" w:cs="Arial"/>
          <w:lang w:eastAsia="zh-CN"/>
        </w:rPr>
        <w:t>.</w:t>
      </w:r>
      <w:r w:rsidRPr="00F05141">
        <w:rPr>
          <w:rFonts w:eastAsia="AdvOT1ef757c0" w:cs="Arial"/>
          <w:lang w:eastAsia="zh-CN"/>
        </w:rPr>
        <w:t xml:space="preserve"> </w:t>
      </w:r>
      <w:r w:rsidR="005669D0" w:rsidRPr="005669D0">
        <w:rPr>
          <w:u w:val="single"/>
        </w:rPr>
        <w:t xml:space="preserve">Ellipses </w:t>
      </w:r>
      <w:r w:rsidR="00072D69">
        <w:rPr>
          <w:u w:val="single"/>
        </w:rPr>
        <w:t xml:space="preserve">in Figure 8B </w:t>
      </w:r>
      <w:r w:rsidR="005669D0" w:rsidRPr="005669D0">
        <w:rPr>
          <w:u w:val="single"/>
        </w:rPr>
        <w:t>have been computed in R using the multivariate t-distribution at 0.95 confidence level. (Package ggplot2::</w:t>
      </w:r>
      <w:proofErr w:type="spellStart"/>
      <w:r w:rsidR="005669D0" w:rsidRPr="005669D0">
        <w:rPr>
          <w:u w:val="single"/>
        </w:rPr>
        <w:t>stat_ellipse</w:t>
      </w:r>
      <w:proofErr w:type="spellEnd"/>
      <w:r w:rsidR="005669D0" w:rsidRPr="005669D0">
        <w:rPr>
          <w:u w:val="single"/>
        </w:rPr>
        <w:t xml:space="preserve">, The method for calculating the ellipses has been modified from car::ellipse ((Fox and Weisberg, 2011), </w:t>
      </w:r>
      <w:hyperlink r:id="rId10" w:history="1">
        <w:r w:rsidR="00072D69" w:rsidRPr="008C326C">
          <w:rPr>
            <w:rStyle w:val="Hyperlink"/>
          </w:rPr>
          <w:t>https://rdrr.io/cran/ggplot2/man/stat_ellipse.html</w:t>
        </w:r>
      </w:hyperlink>
      <w:r w:rsidR="005669D0" w:rsidRPr="005669D0">
        <w:rPr>
          <w:u w:val="single"/>
        </w:rPr>
        <w:t>)</w:t>
      </w:r>
      <w:r w:rsidR="002E0402">
        <w:rPr>
          <w:u w:val="single"/>
        </w:rPr>
        <w:t xml:space="preserve">. </w:t>
      </w:r>
      <w:r w:rsidR="002E0402" w:rsidRPr="009F1197">
        <w:rPr>
          <w:rFonts w:eastAsia="Times New Roman" w:cs="Arial"/>
          <w:color w:val="000000"/>
          <w:u w:val="single"/>
        </w:rPr>
        <w:t xml:space="preserve">To identify relevant differences in microbiota composition between mice receiving different treatments during FMT experiments, the DESeq2 package </w:t>
      </w:r>
      <w:r w:rsidR="009F1197" w:rsidRPr="009F1197">
        <w:rPr>
          <w:rFonts w:eastAsia="Times New Roman" w:cs="Arial"/>
          <w:color w:val="000000"/>
          <w:u w:val="single"/>
        </w:rPr>
        <w:t>was used</w:t>
      </w:r>
      <w:r w:rsidR="009F1197" w:rsidRPr="009F1197">
        <w:rPr>
          <w:rFonts w:eastAsia="Times New Roman" w:cs="Arial"/>
          <w:color w:val="000000"/>
          <w:u w:val="single"/>
        </w:rPr>
        <w:fldChar w:fldCharType="begin" w:fldLock="1"/>
      </w:r>
      <w:r w:rsidR="00EE7C12">
        <w:rPr>
          <w:rFonts w:eastAsia="Times New Roman" w:cs="Arial"/>
          <w:color w:val="000000"/>
          <w:u w:val="single"/>
        </w:rPr>
        <w:instrText>ADDIN CSL_CITATION {"citationItems":[{"id":"ITEM-1","itemData":{"DOI":"10.1186/s13059-014-0550-8","ISBN":"1465-6906","ISSN":"1474760X","PMID":"25516281","abstract":"In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\\n                  http://www.bioconductor.org/packages/release/bioc/html/DESeq2.html\\n                  \\n                .","author":[{"dropping-particle":"","family":"Love","given":"Michael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Biology","id":"ITEM-1","issue":"12","issued":{"date-parts":[["2014"]]},"title":"Moderated estimation of fold change and dispersion for RNA-seq data with DESeq2","type":"article-journal","volume":"15"},"uris":["http://www.mendeley.com/documents/?uuid=30b365af-8556-4b0b-a9fb-881ac3b4cfbc"]}],"mendeley":{"formattedCitation":"(10)","plainTextFormattedCitation":"(10)","previouslyFormattedCitation":"(10)"},"properties":{"noteIndex":0},"schema":"https://github.com/citation-style-language/schema/raw/master/csl-citation.json"}</w:instrText>
      </w:r>
      <w:r w:rsidR="009F1197" w:rsidRPr="009F1197">
        <w:rPr>
          <w:rFonts w:eastAsia="Times New Roman" w:cs="Arial"/>
          <w:color w:val="000000"/>
          <w:u w:val="single"/>
        </w:rPr>
        <w:fldChar w:fldCharType="separate"/>
      </w:r>
      <w:r w:rsidR="009F1197" w:rsidRPr="009F1197">
        <w:rPr>
          <w:rFonts w:eastAsia="Times New Roman" w:cs="Arial"/>
          <w:noProof/>
          <w:color w:val="000000"/>
          <w:u w:val="single"/>
        </w:rPr>
        <w:t>(10)</w:t>
      </w:r>
      <w:r w:rsidR="009F1197" w:rsidRPr="009F1197">
        <w:rPr>
          <w:rFonts w:eastAsia="Times New Roman" w:cs="Arial"/>
          <w:color w:val="000000"/>
          <w:u w:val="single"/>
        </w:rPr>
        <w:fldChar w:fldCharType="end"/>
      </w:r>
      <w:r w:rsidR="002E0402" w:rsidRPr="009F1197">
        <w:rPr>
          <w:rFonts w:eastAsia="Times New Roman" w:cs="Arial"/>
          <w:color w:val="000000"/>
          <w:u w:val="single"/>
        </w:rPr>
        <w:t xml:space="preserve">. This package enabled us to compare the OTU count matrices between the different groups and identify bacteria that were </w:t>
      </w:r>
      <w:r w:rsidR="002E0402" w:rsidRPr="009F1197">
        <w:rPr>
          <w:rFonts w:eastAsia="Times New Roman" w:cs="Arial"/>
          <w:color w:val="000000"/>
          <w:u w:val="single"/>
        </w:rPr>
        <w:lastRenderedPageBreak/>
        <w:t>differentially regulated between the different groups. The y-axis of the graph</w:t>
      </w:r>
      <w:r w:rsidR="009F1197" w:rsidRPr="009F1197">
        <w:rPr>
          <w:rFonts w:eastAsia="Times New Roman" w:cs="Arial"/>
          <w:color w:val="000000"/>
          <w:u w:val="single"/>
        </w:rPr>
        <w:t>s</w:t>
      </w:r>
      <w:r w:rsidR="002E0402" w:rsidRPr="009F1197">
        <w:rPr>
          <w:rFonts w:eastAsia="Times New Roman" w:cs="Arial"/>
          <w:color w:val="000000"/>
          <w:u w:val="single"/>
        </w:rPr>
        <w:t xml:space="preserve"> depicts the Log2 fold change of individual OTUs, while the x-axis shows the Log2 mean abundance of the OTU among all samples.</w:t>
      </w:r>
    </w:p>
    <w:p w14:paraId="494D4228" w14:textId="77777777" w:rsidR="00EE7C12" w:rsidRDefault="00EE7C12" w:rsidP="00EE7C12">
      <w:pPr>
        <w:spacing w:after="160" w:line="259" w:lineRule="auto"/>
        <w:rPr>
          <w:rFonts w:cs="Arial"/>
          <w:b/>
          <w:i/>
          <w:lang w:eastAsia="zh-CN"/>
        </w:rPr>
      </w:pPr>
    </w:p>
    <w:p w14:paraId="1A7DB0D8" w14:textId="4A01FCD5" w:rsidR="00884A33" w:rsidRPr="00EC0CCA" w:rsidRDefault="00884A33" w:rsidP="00EE7C12">
      <w:pPr>
        <w:spacing w:after="160" w:line="259" w:lineRule="auto"/>
        <w:rPr>
          <w:rFonts w:cs="Arial"/>
          <w:b/>
          <w:i/>
          <w:lang w:eastAsia="zh-CN"/>
        </w:rPr>
      </w:pPr>
      <w:proofErr w:type="spellStart"/>
      <w:r w:rsidRPr="00EC0CCA">
        <w:rPr>
          <w:rFonts w:cs="Arial"/>
          <w:b/>
          <w:i/>
          <w:lang w:eastAsia="zh-CN"/>
        </w:rPr>
        <w:t>qRT</w:t>
      </w:r>
      <w:proofErr w:type="spellEnd"/>
      <w:r w:rsidRPr="00EC0CCA">
        <w:rPr>
          <w:rFonts w:cs="Arial"/>
          <w:b/>
          <w:i/>
          <w:lang w:eastAsia="zh-CN"/>
        </w:rPr>
        <w:t>–PCR</w:t>
      </w:r>
    </w:p>
    <w:p w14:paraId="62F619EB" w14:textId="77777777" w:rsidR="00884A33" w:rsidRPr="00080DF6" w:rsidRDefault="00884A33" w:rsidP="00884A33">
      <w:pPr>
        <w:jc w:val="both"/>
        <w:rPr>
          <w:rFonts w:eastAsiaTheme="minorEastAsia" w:cs="Arial"/>
          <w:lang w:eastAsia="zh-CN"/>
        </w:rPr>
      </w:pPr>
      <w:r w:rsidRPr="008B7BCF">
        <w:rPr>
          <w:rFonts w:eastAsia="AdvOT1ef757c0" w:cs="Arial"/>
          <w:lang w:eastAsia="zh-CN"/>
        </w:rPr>
        <w:t xml:space="preserve">Liver or intestine tissue was homogenized in 1ml </w:t>
      </w:r>
      <w:proofErr w:type="spellStart"/>
      <w:r w:rsidRPr="008B7BCF">
        <w:rPr>
          <w:rFonts w:eastAsia="AdvOT1ef757c0" w:cs="Arial"/>
          <w:lang w:eastAsia="zh-CN"/>
        </w:rPr>
        <w:t>Trizol</w:t>
      </w:r>
      <w:proofErr w:type="spellEnd"/>
      <w:r w:rsidRPr="008B7BCF">
        <w:rPr>
          <w:rFonts w:eastAsia="AdvOT1ef757c0" w:cs="Arial"/>
          <w:lang w:eastAsia="zh-CN"/>
        </w:rPr>
        <w:t xml:space="preserve"> Reagent (Life Technologies, Carlsbad, CA, USA), then 200 </w:t>
      </w:r>
      <w:proofErr w:type="spellStart"/>
      <w:r w:rsidRPr="008B7BCF">
        <w:rPr>
          <w:rFonts w:eastAsia="AdvOT1ef757c0" w:cs="Arial"/>
          <w:lang w:eastAsia="zh-CN"/>
        </w:rPr>
        <w:t>μl</w:t>
      </w:r>
      <w:proofErr w:type="spellEnd"/>
      <w:r w:rsidRPr="008B7BCF">
        <w:rPr>
          <w:rFonts w:eastAsia="AdvOT1ef757c0" w:cs="Arial"/>
          <w:lang w:eastAsia="zh-CN"/>
        </w:rPr>
        <w:t xml:space="preserve"> chloroform were added to</w:t>
      </w:r>
      <w:r w:rsidRPr="008B7BCF">
        <w:rPr>
          <w:rFonts w:eastAsiaTheme="minorEastAsia" w:cs="Arial"/>
          <w:lang w:eastAsia="zh-CN"/>
        </w:rPr>
        <w:t xml:space="preserve"> </w:t>
      </w:r>
      <w:r w:rsidRPr="008B7BCF">
        <w:rPr>
          <w:rFonts w:eastAsia="AdvOT1ef757c0" w:cs="Arial"/>
          <w:lang w:eastAsia="zh-CN"/>
        </w:rPr>
        <w:t>separate the phases, 10 min</w:t>
      </w:r>
      <w:r>
        <w:rPr>
          <w:rFonts w:eastAsiaTheme="minorEastAsia" w:cs="Arial" w:hint="eastAsia"/>
          <w:lang w:eastAsia="zh-CN"/>
        </w:rPr>
        <w:t xml:space="preserve"> </w:t>
      </w:r>
      <w:r w:rsidRPr="008B7BCF">
        <w:rPr>
          <w:rFonts w:eastAsia="AdvOT1ef757c0" w:cs="Arial"/>
          <w:lang w:eastAsia="zh-CN"/>
        </w:rPr>
        <w:t>incubation at RT and 5 min centrifugation at 12000 x g. The aqueous phase was removed and transferred into a new 1.5 ml collecting tube.</w:t>
      </w:r>
      <w:r w:rsidRPr="008B7BCF">
        <w:rPr>
          <w:rFonts w:eastAsiaTheme="minorEastAsia" w:cs="Arial"/>
          <w:lang w:eastAsia="zh-CN"/>
        </w:rPr>
        <w:t xml:space="preserve"> </w:t>
      </w:r>
      <w:r w:rsidRPr="008B7BCF">
        <w:rPr>
          <w:rFonts w:eastAsia="AdvOT1ef757c0" w:cs="Arial"/>
          <w:lang w:eastAsia="zh-CN"/>
        </w:rPr>
        <w:t xml:space="preserve">Afterwards 500 </w:t>
      </w:r>
      <w:proofErr w:type="spellStart"/>
      <w:r w:rsidRPr="008B7BCF">
        <w:rPr>
          <w:rFonts w:eastAsia="AdvOT1ef757c0" w:cs="Arial"/>
          <w:lang w:eastAsia="zh-CN"/>
        </w:rPr>
        <w:t>μl</w:t>
      </w:r>
      <w:proofErr w:type="spellEnd"/>
      <w:r w:rsidRPr="008B7BCF">
        <w:rPr>
          <w:rFonts w:eastAsia="AdvOT1ef757c0" w:cs="Arial"/>
          <w:lang w:eastAsia="zh-CN"/>
        </w:rPr>
        <w:t xml:space="preserve"> isopropanol were added </w:t>
      </w:r>
      <w:r>
        <w:rPr>
          <w:rFonts w:eastAsia="AdvOT1ef757c0" w:cs="Arial"/>
          <w:lang w:eastAsia="zh-CN"/>
        </w:rPr>
        <w:t>to</w:t>
      </w:r>
      <w:r w:rsidRPr="008B7BCF">
        <w:rPr>
          <w:rFonts w:eastAsia="AdvOT1ef757c0" w:cs="Arial"/>
          <w:lang w:eastAsia="zh-CN"/>
        </w:rPr>
        <w:t xml:space="preserve"> the tube</w:t>
      </w:r>
      <w:r w:rsidRPr="008B7BCF">
        <w:rPr>
          <w:rFonts w:eastAsiaTheme="minorEastAsia" w:cs="Arial"/>
          <w:lang w:eastAsia="zh-CN"/>
        </w:rPr>
        <w:t>. After 15 min incubation at RT the RNA was pelleted by 10 min</w:t>
      </w:r>
      <w:r>
        <w:rPr>
          <w:rFonts w:eastAsiaTheme="minorEastAsia" w:cs="Arial"/>
          <w:lang w:eastAsia="zh-CN"/>
        </w:rPr>
        <w:t xml:space="preserve"> </w:t>
      </w:r>
      <w:r w:rsidRPr="008B7BCF">
        <w:rPr>
          <w:rFonts w:eastAsiaTheme="minorEastAsia" w:cs="Arial"/>
          <w:lang w:eastAsia="zh-CN"/>
        </w:rPr>
        <w:t>centrifugation at 12000 x g and 4°C. The RNA pelle</w:t>
      </w:r>
      <w:r>
        <w:rPr>
          <w:rFonts w:eastAsiaTheme="minorEastAsia" w:cs="Arial"/>
          <w:lang w:eastAsia="zh-CN"/>
        </w:rPr>
        <w:t>t was washed twice using</w:t>
      </w:r>
      <w:r w:rsidRPr="008B7BCF">
        <w:rPr>
          <w:rFonts w:eastAsiaTheme="minorEastAsia" w:cs="Arial"/>
          <w:lang w:eastAsia="zh-CN"/>
        </w:rPr>
        <w:t xml:space="preserve"> 70 % ethanol. To transcribe the isolated RNA into cDNA the </w:t>
      </w:r>
      <w:proofErr w:type="spellStart"/>
      <w:r w:rsidRPr="008B7BCF">
        <w:rPr>
          <w:rFonts w:eastAsiaTheme="minorEastAsia" w:cs="Arial"/>
          <w:lang w:eastAsia="zh-CN"/>
        </w:rPr>
        <w:t>Omniscipt</w:t>
      </w:r>
      <w:proofErr w:type="spellEnd"/>
      <w:r w:rsidRPr="008B7BCF">
        <w:rPr>
          <w:rFonts w:eastAsiaTheme="minorEastAsia" w:cs="Arial"/>
          <w:lang w:eastAsia="zh-CN"/>
        </w:rPr>
        <w:t>® RT Kit (200) was used.</w:t>
      </w:r>
      <w:r>
        <w:rPr>
          <w:rFonts w:eastAsiaTheme="minorEastAsia" w:cs="Arial" w:hint="eastAsia"/>
          <w:lang w:eastAsia="zh-CN"/>
        </w:rPr>
        <w:t xml:space="preserve"> </w:t>
      </w:r>
      <w:r w:rsidRPr="008B7BCF">
        <w:rPr>
          <w:rFonts w:eastAsiaTheme="minorEastAsia" w:cs="Arial"/>
          <w:lang w:eastAsia="zh-CN"/>
        </w:rPr>
        <w:t xml:space="preserve">For </w:t>
      </w:r>
      <w:r>
        <w:rPr>
          <w:rFonts w:eastAsia="AdvOT1ef757c0" w:cs="Arial"/>
          <w:lang w:eastAsia="zh-CN"/>
        </w:rPr>
        <w:t>r</w:t>
      </w:r>
      <w:r w:rsidRPr="00662899">
        <w:rPr>
          <w:rFonts w:eastAsia="AdvOT1ef757c0" w:cs="Arial"/>
          <w:lang w:eastAsia="zh-CN"/>
        </w:rPr>
        <w:t>everse</w:t>
      </w:r>
      <w:r w:rsidRPr="008B7BCF">
        <w:rPr>
          <w:rFonts w:eastAsiaTheme="minorEastAsia" w:cs="Arial"/>
          <w:lang w:eastAsia="zh-CN"/>
        </w:rPr>
        <w:t xml:space="preserve"> transcription 2 </w:t>
      </w:r>
      <w:proofErr w:type="spellStart"/>
      <w:r w:rsidRPr="008B7BCF">
        <w:rPr>
          <w:rFonts w:eastAsiaTheme="minorEastAsia" w:cs="Arial"/>
          <w:lang w:eastAsia="zh-CN"/>
        </w:rPr>
        <w:t>μg</w:t>
      </w:r>
      <w:proofErr w:type="spellEnd"/>
      <w:r w:rsidRPr="008B7BCF">
        <w:rPr>
          <w:rFonts w:eastAsiaTheme="minorEastAsia" w:cs="Arial"/>
          <w:lang w:eastAsia="zh-CN"/>
        </w:rPr>
        <w:t xml:space="preserve"> total RNA were used</w:t>
      </w:r>
      <w:r>
        <w:rPr>
          <w:rFonts w:eastAsiaTheme="minorEastAsia" w:cs="Arial"/>
          <w:lang w:eastAsia="zh-CN"/>
        </w:rPr>
        <w:t>,</w:t>
      </w:r>
      <w:r w:rsidRPr="008B7BCF">
        <w:rPr>
          <w:rFonts w:eastAsiaTheme="minorEastAsia" w:cs="Arial"/>
          <w:lang w:eastAsia="zh-CN"/>
        </w:rPr>
        <w:t xml:space="preserve"> </w:t>
      </w:r>
      <w:r>
        <w:rPr>
          <w:rFonts w:eastAsia="AdvOT1ef757c0" w:cs="Arial"/>
          <w:lang w:eastAsia="zh-CN"/>
        </w:rPr>
        <w:t>and r</w:t>
      </w:r>
      <w:r w:rsidRPr="00662899">
        <w:rPr>
          <w:rFonts w:eastAsia="AdvOT1ef757c0" w:cs="Arial"/>
          <w:lang w:eastAsia="zh-CN"/>
        </w:rPr>
        <w:t xml:space="preserve">everse transcription was performed using an </w:t>
      </w:r>
      <w:proofErr w:type="spellStart"/>
      <w:r w:rsidRPr="00662899">
        <w:rPr>
          <w:rFonts w:eastAsia="AdvOT1ef757c0" w:cs="Arial"/>
          <w:lang w:eastAsia="zh-CN"/>
        </w:rPr>
        <w:t>Omniscript</w:t>
      </w:r>
      <w:proofErr w:type="spellEnd"/>
      <w:r w:rsidRPr="00662899">
        <w:rPr>
          <w:rFonts w:eastAsia="AdvOT1ef757c0" w:cs="Arial"/>
          <w:lang w:eastAsia="zh-CN"/>
        </w:rPr>
        <w:t xml:space="preserve"> kit (Qiagen</w:t>
      </w:r>
      <w:r>
        <w:rPr>
          <w:rFonts w:eastAsia="AdvOT1ef757c0" w:cs="Arial"/>
          <w:lang w:eastAsia="zh-CN"/>
        </w:rPr>
        <w:t>, Venlo, Netherlands</w:t>
      </w:r>
      <w:r w:rsidRPr="00662899">
        <w:rPr>
          <w:rFonts w:eastAsia="AdvOT1ef757c0" w:cs="Arial"/>
          <w:lang w:eastAsia="zh-CN"/>
        </w:rPr>
        <w:t>) according to the manufacturer’s protocol.</w:t>
      </w:r>
      <w:r>
        <w:rPr>
          <w:rFonts w:eastAsiaTheme="minorEastAsia" w:cs="Arial"/>
          <w:lang w:eastAsia="zh-CN"/>
        </w:rPr>
        <w:t xml:space="preserve"> </w:t>
      </w:r>
      <w:r>
        <w:rPr>
          <w:rFonts w:eastAsia="AdvOT1ef757c0" w:cs="Arial"/>
          <w:lang w:eastAsia="zh-CN"/>
        </w:rPr>
        <w:t xml:space="preserve">Fast </w:t>
      </w:r>
      <w:r w:rsidRPr="00662899">
        <w:rPr>
          <w:rFonts w:cs="Arial"/>
          <w:lang w:eastAsia="zh-CN"/>
        </w:rPr>
        <w:t xml:space="preserve">SYBR® </w:t>
      </w:r>
      <w:proofErr w:type="spellStart"/>
      <w:r w:rsidRPr="00662899">
        <w:rPr>
          <w:rFonts w:cs="Arial"/>
          <w:lang w:eastAsia="zh-CN"/>
        </w:rPr>
        <w:t>GreenER</w:t>
      </w:r>
      <w:proofErr w:type="spellEnd"/>
      <w:r w:rsidRPr="00662899">
        <w:rPr>
          <w:rFonts w:cs="Arial"/>
          <w:lang w:eastAsia="zh-CN"/>
        </w:rPr>
        <w:t xml:space="preserve"> </w:t>
      </w:r>
      <w:r>
        <w:rPr>
          <w:rFonts w:cs="Arial"/>
          <w:lang w:eastAsia="zh-CN"/>
        </w:rPr>
        <w:t xml:space="preserve">Master Mix </w:t>
      </w:r>
      <w:r w:rsidRPr="00662899">
        <w:rPr>
          <w:rFonts w:cs="Arial"/>
          <w:lang w:eastAsia="zh-CN"/>
        </w:rPr>
        <w:t>(</w:t>
      </w:r>
      <w:proofErr w:type="spellStart"/>
      <w:r>
        <w:rPr>
          <w:rFonts w:cs="Arial"/>
          <w:lang w:eastAsia="zh-CN"/>
        </w:rPr>
        <w:t>Thermo</w:t>
      </w:r>
      <w:proofErr w:type="spellEnd"/>
      <w:r>
        <w:rPr>
          <w:rFonts w:cs="Arial"/>
          <w:lang w:eastAsia="zh-CN"/>
        </w:rPr>
        <w:t xml:space="preserve"> Fisher, Waltham, MA, USA</w:t>
      </w:r>
      <w:r w:rsidRPr="00662899">
        <w:rPr>
          <w:rFonts w:cs="Arial"/>
          <w:lang w:eastAsia="zh-CN"/>
        </w:rPr>
        <w:t>) was used</w:t>
      </w:r>
      <w:r w:rsidRPr="00662899">
        <w:rPr>
          <w:rFonts w:eastAsia="AdvOT1ef757c0" w:cs="Arial"/>
          <w:lang w:eastAsia="zh-CN"/>
        </w:rPr>
        <w:t xml:space="preserve"> </w:t>
      </w:r>
      <w:r>
        <w:rPr>
          <w:rFonts w:cs="Arial"/>
          <w:lang w:eastAsia="zh-CN"/>
        </w:rPr>
        <w:t>f</w:t>
      </w:r>
      <w:r w:rsidRPr="00662899">
        <w:rPr>
          <w:rFonts w:cs="Arial"/>
          <w:lang w:eastAsia="zh-CN"/>
        </w:rPr>
        <w:t>or the assembling of real time PCR reactions according to manufacturer’s recommendations.</w:t>
      </w:r>
      <w:r>
        <w:rPr>
          <w:rFonts w:eastAsia="AdvOT1ef757c0" w:cs="Arial"/>
          <w:lang w:eastAsia="zh-CN"/>
        </w:rPr>
        <w:t xml:space="preserve"> All the p</w:t>
      </w:r>
      <w:r w:rsidRPr="00662899">
        <w:rPr>
          <w:rFonts w:eastAsia="AdvOT1ef757c0" w:cs="Arial"/>
          <w:lang w:eastAsia="zh-CN"/>
        </w:rPr>
        <w:t xml:space="preserve">rimer sequences </w:t>
      </w:r>
      <w:r>
        <w:rPr>
          <w:rFonts w:eastAsia="AdvOT1ef757c0" w:cs="Arial"/>
          <w:lang w:eastAsia="zh-CN"/>
        </w:rPr>
        <w:t xml:space="preserve">are available upon request. </w:t>
      </w:r>
      <w:r>
        <w:rPr>
          <w:rFonts w:cs="Arial"/>
          <w:lang w:val="en-GB"/>
        </w:rPr>
        <w:t>For analysis</w:t>
      </w:r>
      <w:r w:rsidRPr="00D74480">
        <w:rPr>
          <w:rFonts w:cs="Arial"/>
          <w:lang w:val="en-GB"/>
        </w:rPr>
        <w:t xml:space="preserve"> Quant</w:t>
      </w:r>
      <w:r>
        <w:rPr>
          <w:rFonts w:cs="Arial"/>
          <w:lang w:val="en-GB"/>
        </w:rPr>
        <w:t xml:space="preserve"> </w:t>
      </w:r>
      <w:r w:rsidRPr="00D74480">
        <w:rPr>
          <w:rFonts w:cs="Arial"/>
          <w:lang w:val="en-GB"/>
        </w:rPr>
        <w:t xml:space="preserve">Studio Flex </w:t>
      </w:r>
      <w:r>
        <w:rPr>
          <w:rFonts w:cs="Arial"/>
          <w:lang w:val="en-GB"/>
        </w:rPr>
        <w:t>software (</w:t>
      </w:r>
      <w:proofErr w:type="spellStart"/>
      <w:r w:rsidRPr="00D74480">
        <w:rPr>
          <w:rFonts w:cs="Arial"/>
          <w:lang w:val="en-GB"/>
        </w:rPr>
        <w:t>Thermo</w:t>
      </w:r>
      <w:proofErr w:type="spellEnd"/>
      <w:r>
        <w:rPr>
          <w:rFonts w:cs="Arial"/>
          <w:lang w:val="en-GB"/>
        </w:rPr>
        <w:t xml:space="preserve"> </w:t>
      </w:r>
      <w:r w:rsidRPr="00D74480">
        <w:rPr>
          <w:rFonts w:cs="Arial"/>
          <w:lang w:val="en-GB"/>
        </w:rPr>
        <w:t>Fisher, Waltham, MA, USA) was used</w:t>
      </w:r>
      <w:r w:rsidRPr="00662899">
        <w:rPr>
          <w:rFonts w:cs="Arial"/>
          <w:lang w:val="en-GB"/>
        </w:rPr>
        <w:t>. Expression o</w:t>
      </w:r>
      <w:r>
        <w:rPr>
          <w:rFonts w:cs="Arial"/>
          <w:lang w:val="en-GB"/>
        </w:rPr>
        <w:t xml:space="preserve">f mRNA was calculated using </w:t>
      </w:r>
      <w:r w:rsidRPr="00662899">
        <w:rPr>
          <w:rFonts w:cs="Arial"/>
          <w:lang w:eastAsia="zh-CN"/>
        </w:rPr>
        <w:t>the 2</w:t>
      </w:r>
      <w:r w:rsidRPr="00662899">
        <w:rPr>
          <w:rFonts w:cs="Arial"/>
          <w:vertAlign w:val="superscript"/>
          <w:lang w:eastAsia="zh-CN"/>
        </w:rPr>
        <w:t>−ΔΔ</w:t>
      </w:r>
      <w:r w:rsidRPr="00662899">
        <w:rPr>
          <w:rFonts w:cs="Arial"/>
          <w:lang w:eastAsia="zh-CN"/>
        </w:rPr>
        <w:t>CT Method</w:t>
      </w:r>
      <w:r w:rsidRPr="00662899">
        <w:rPr>
          <w:rFonts w:cs="Arial"/>
          <w:lang w:val="en-GB" w:eastAsia="zh-CN"/>
        </w:rPr>
        <w:t>,</w:t>
      </w:r>
      <w:r w:rsidRPr="00662899">
        <w:rPr>
          <w:rFonts w:cs="Arial"/>
          <w:lang w:val="en-GB"/>
        </w:rPr>
        <w:t xml:space="preserve"> which determines the relative quantification of a target gene in com</w:t>
      </w:r>
      <w:r>
        <w:rPr>
          <w:rFonts w:cs="Arial"/>
          <w:lang w:val="en-GB"/>
        </w:rPr>
        <w:t>parison to the GAPDH gene.</w:t>
      </w:r>
    </w:p>
    <w:p w14:paraId="164D4934" w14:textId="77777777" w:rsidR="00884A33" w:rsidRPr="00286D4E" w:rsidRDefault="00884A33" w:rsidP="00884A33">
      <w:pPr>
        <w:jc w:val="both"/>
        <w:rPr>
          <w:rFonts w:eastAsia="Times New Roman"/>
          <w:b/>
        </w:rPr>
      </w:pPr>
      <w:r>
        <w:rPr>
          <w:rFonts w:cs="Arial"/>
          <w:b/>
        </w:rPr>
        <w:t>DNA isolation and measurement of bacterial DNA in liver tissue</w:t>
      </w:r>
    </w:p>
    <w:p w14:paraId="085A9637" w14:textId="56A081E5" w:rsidR="00884A33" w:rsidRPr="00F96C43" w:rsidRDefault="00884A33" w:rsidP="00884A33">
      <w:pPr>
        <w:pStyle w:val="StandardWeb"/>
        <w:spacing w:before="0" w:beforeAutospacing="0" w:after="0" w:afterAutospacing="0" w:line="360" w:lineRule="auto"/>
        <w:jc w:val="both"/>
        <w:rPr>
          <w:rFonts w:ascii="Arial" w:hAnsi="Arial" w:cs="Arial"/>
          <w:sz w:val="24"/>
          <w:szCs w:val="24"/>
          <w:lang w:val="en-GB"/>
        </w:rPr>
      </w:pPr>
      <w:r w:rsidRPr="00080DF6">
        <w:rPr>
          <w:rFonts w:ascii="Arial" w:hAnsi="Arial" w:cs="Arial"/>
          <w:sz w:val="24"/>
          <w:szCs w:val="24"/>
        </w:rPr>
        <w:t>30mg liver tissue</w:t>
      </w:r>
      <w:r>
        <w:rPr>
          <w:rFonts w:ascii="Arial" w:hAnsi="Arial" w:cs="Arial"/>
          <w:sz w:val="24"/>
          <w:szCs w:val="24"/>
        </w:rPr>
        <w:t xml:space="preserve"> was taken from each mouse, </w:t>
      </w:r>
      <w:r w:rsidRPr="00080DF6">
        <w:rPr>
          <w:rFonts w:ascii="Arial" w:hAnsi="Arial" w:cs="Arial"/>
          <w:sz w:val="24"/>
          <w:szCs w:val="24"/>
        </w:rPr>
        <w:t>homogenize</w:t>
      </w:r>
      <w:r>
        <w:rPr>
          <w:rFonts w:ascii="Arial" w:hAnsi="Arial" w:cs="Arial"/>
          <w:sz w:val="24"/>
          <w:szCs w:val="24"/>
        </w:rPr>
        <w:t>d</w:t>
      </w:r>
      <w:r w:rsidRPr="00080DF6">
        <w:rPr>
          <w:rFonts w:ascii="Arial" w:hAnsi="Arial" w:cs="Arial"/>
          <w:sz w:val="24"/>
          <w:szCs w:val="24"/>
        </w:rPr>
        <w:t xml:space="preserve"> </w:t>
      </w:r>
      <w:r>
        <w:rPr>
          <w:rFonts w:ascii="Arial" w:hAnsi="Arial" w:cs="Arial"/>
          <w:sz w:val="24"/>
          <w:szCs w:val="24"/>
        </w:rPr>
        <w:t>for 10 min and</w:t>
      </w:r>
      <w:r w:rsidRPr="00080DF6">
        <w:rPr>
          <w:rFonts w:ascii="Arial" w:hAnsi="Arial" w:cs="Arial"/>
          <w:sz w:val="24"/>
          <w:szCs w:val="24"/>
        </w:rPr>
        <w:t xml:space="preserve"> total genomic DNA was extracted directly from the homogenized samples using </w:t>
      </w:r>
      <w:r>
        <w:rPr>
          <w:rFonts w:ascii="Arial" w:hAnsi="Arial" w:cs="Arial"/>
          <w:sz w:val="24"/>
          <w:szCs w:val="24"/>
        </w:rPr>
        <w:t xml:space="preserve">the </w:t>
      </w:r>
      <w:proofErr w:type="spellStart"/>
      <w:r w:rsidRPr="00080DF6">
        <w:rPr>
          <w:rFonts w:ascii="Arial" w:hAnsi="Arial" w:cs="Arial"/>
          <w:sz w:val="24"/>
          <w:szCs w:val="24"/>
        </w:rPr>
        <w:t>peqGOLD</w:t>
      </w:r>
      <w:proofErr w:type="spellEnd"/>
      <w:r w:rsidRPr="00080DF6">
        <w:rPr>
          <w:rFonts w:ascii="Arial" w:hAnsi="Arial" w:cs="Arial"/>
          <w:sz w:val="24"/>
          <w:szCs w:val="24"/>
        </w:rPr>
        <w:t xml:space="preserve"> Tissue DNA mini Kit according to the </w:t>
      </w:r>
      <w:r w:rsidRPr="00080DF6">
        <w:rPr>
          <w:rFonts w:ascii="Arial" w:eastAsia="AdvOT1ef757c0" w:hAnsi="Arial" w:cs="Arial"/>
          <w:sz w:val="24"/>
          <w:szCs w:val="24"/>
          <w:lang w:eastAsia="zh-CN"/>
        </w:rPr>
        <w:t>manufacturer’s protocol</w:t>
      </w:r>
      <w:r w:rsidRPr="00080DF6">
        <w:rPr>
          <w:rFonts w:ascii="Arial" w:hAnsi="Arial" w:cs="Arial"/>
          <w:sz w:val="24"/>
          <w:szCs w:val="24"/>
        </w:rPr>
        <w:t>. To check the</w:t>
      </w:r>
      <w:r>
        <w:rPr>
          <w:rFonts w:ascii="Arial" w:hAnsi="Arial" w:cs="Arial"/>
          <w:sz w:val="24"/>
          <w:szCs w:val="24"/>
        </w:rPr>
        <w:t xml:space="preserve"> quality and quantity the </w:t>
      </w:r>
      <w:proofErr w:type="spellStart"/>
      <w:r w:rsidRPr="00080DF6">
        <w:rPr>
          <w:rFonts w:ascii="Arial" w:hAnsi="Arial" w:cs="Arial"/>
          <w:sz w:val="24"/>
          <w:szCs w:val="24"/>
        </w:rPr>
        <w:t>NanoDrop</w:t>
      </w:r>
      <w:proofErr w:type="spellEnd"/>
      <w:r>
        <w:rPr>
          <w:rFonts w:ascii="Arial" w:hAnsi="Arial" w:cs="Arial"/>
          <w:sz w:val="24"/>
          <w:szCs w:val="24"/>
        </w:rPr>
        <w:t xml:space="preserve"> </w:t>
      </w:r>
      <w:proofErr w:type="spellStart"/>
      <w:r>
        <w:rPr>
          <w:rFonts w:ascii="Arial" w:hAnsi="Arial" w:cs="Arial"/>
          <w:sz w:val="24"/>
          <w:szCs w:val="24"/>
        </w:rPr>
        <w:t>spectophotometer</w:t>
      </w:r>
      <w:proofErr w:type="spellEnd"/>
      <w:r w:rsidRPr="00080DF6">
        <w:rPr>
          <w:rFonts w:ascii="Arial" w:hAnsi="Arial" w:cs="Arial"/>
          <w:sz w:val="24"/>
          <w:szCs w:val="24"/>
        </w:rPr>
        <w:t xml:space="preserve"> </w:t>
      </w:r>
      <w:r>
        <w:rPr>
          <w:rFonts w:ascii="Arial" w:hAnsi="Arial" w:cs="Arial"/>
          <w:sz w:val="24"/>
          <w:szCs w:val="24"/>
        </w:rPr>
        <w:t>was employed</w:t>
      </w:r>
      <w:r w:rsidRPr="00080DF6">
        <w:rPr>
          <w:rFonts w:ascii="Arial" w:hAnsi="Arial" w:cs="Arial"/>
          <w:sz w:val="24"/>
          <w:szCs w:val="24"/>
        </w:rPr>
        <w:t xml:space="preserve">.  </w:t>
      </w:r>
      <w:r w:rsidRPr="00080DF6">
        <w:rPr>
          <w:rFonts w:ascii="Arial" w:eastAsia="AdvOT1ef757c0" w:hAnsi="Arial" w:cs="Arial"/>
          <w:sz w:val="24"/>
          <w:szCs w:val="24"/>
          <w:lang w:eastAsia="zh-CN"/>
        </w:rPr>
        <w:t xml:space="preserve">Fast </w:t>
      </w:r>
      <w:r w:rsidRPr="00080DF6">
        <w:rPr>
          <w:rFonts w:ascii="Arial" w:hAnsi="Arial" w:cs="Arial"/>
          <w:sz w:val="24"/>
          <w:szCs w:val="24"/>
          <w:lang w:eastAsia="zh-CN"/>
        </w:rPr>
        <w:t xml:space="preserve">SYBR® </w:t>
      </w:r>
      <w:proofErr w:type="spellStart"/>
      <w:r w:rsidRPr="00080DF6">
        <w:rPr>
          <w:rFonts w:ascii="Arial" w:hAnsi="Arial" w:cs="Arial"/>
          <w:sz w:val="24"/>
          <w:szCs w:val="24"/>
          <w:lang w:eastAsia="zh-CN"/>
        </w:rPr>
        <w:t>GreenER</w:t>
      </w:r>
      <w:proofErr w:type="spellEnd"/>
      <w:r w:rsidRPr="00080DF6">
        <w:rPr>
          <w:rFonts w:ascii="Arial" w:hAnsi="Arial" w:cs="Arial"/>
          <w:sz w:val="24"/>
          <w:szCs w:val="24"/>
          <w:lang w:eastAsia="zh-CN"/>
        </w:rPr>
        <w:t xml:space="preserve"> Master Mix (</w:t>
      </w:r>
      <w:proofErr w:type="spellStart"/>
      <w:r w:rsidRPr="00080DF6">
        <w:rPr>
          <w:rFonts w:ascii="Arial" w:hAnsi="Arial" w:cs="Arial"/>
          <w:sz w:val="24"/>
          <w:szCs w:val="24"/>
          <w:lang w:eastAsia="zh-CN"/>
        </w:rPr>
        <w:t>Thermo</w:t>
      </w:r>
      <w:proofErr w:type="spellEnd"/>
      <w:r w:rsidRPr="00080DF6">
        <w:rPr>
          <w:rFonts w:ascii="Arial" w:hAnsi="Arial" w:cs="Arial"/>
          <w:sz w:val="24"/>
          <w:szCs w:val="24"/>
          <w:lang w:eastAsia="zh-CN"/>
        </w:rPr>
        <w:t xml:space="preserve"> Fisher, Waltham, MA, USA) was used</w:t>
      </w:r>
      <w:r w:rsidRPr="00080DF6">
        <w:rPr>
          <w:rFonts w:ascii="Arial" w:eastAsia="AdvOT1ef757c0" w:hAnsi="Arial" w:cs="Arial"/>
          <w:sz w:val="24"/>
          <w:szCs w:val="24"/>
          <w:lang w:eastAsia="zh-CN"/>
        </w:rPr>
        <w:t xml:space="preserve"> </w:t>
      </w:r>
      <w:r w:rsidRPr="00080DF6">
        <w:rPr>
          <w:rFonts w:ascii="Arial" w:hAnsi="Arial" w:cs="Arial"/>
          <w:sz w:val="24"/>
          <w:szCs w:val="24"/>
          <w:lang w:eastAsia="zh-CN"/>
        </w:rPr>
        <w:t>for the assembling of real time PCR reactions according to manufacturer’s recommendations.</w:t>
      </w:r>
      <w:r w:rsidRPr="00080DF6">
        <w:rPr>
          <w:rFonts w:ascii="Arial" w:eastAsia="AdvOT1ef757c0" w:hAnsi="Arial" w:cs="Arial"/>
          <w:sz w:val="24"/>
          <w:szCs w:val="24"/>
          <w:lang w:eastAsia="zh-CN"/>
        </w:rPr>
        <w:t xml:space="preserve"> All the primer sequences are available upon request. </w:t>
      </w:r>
      <w:r w:rsidRPr="00080DF6">
        <w:rPr>
          <w:rFonts w:ascii="Arial" w:hAnsi="Arial" w:cs="Arial"/>
          <w:sz w:val="24"/>
          <w:szCs w:val="24"/>
          <w:lang w:val="en-GB"/>
        </w:rPr>
        <w:t>For analysis Quant Studio Flex software (</w:t>
      </w:r>
      <w:proofErr w:type="spellStart"/>
      <w:r w:rsidRPr="00080DF6">
        <w:rPr>
          <w:rFonts w:ascii="Arial" w:hAnsi="Arial" w:cs="Arial"/>
          <w:sz w:val="24"/>
          <w:szCs w:val="24"/>
          <w:lang w:val="en-GB"/>
        </w:rPr>
        <w:t>Thermo</w:t>
      </w:r>
      <w:proofErr w:type="spellEnd"/>
      <w:r w:rsidRPr="00080DF6">
        <w:rPr>
          <w:rFonts w:ascii="Arial" w:hAnsi="Arial" w:cs="Arial"/>
          <w:sz w:val="24"/>
          <w:szCs w:val="24"/>
          <w:lang w:val="en-GB"/>
        </w:rPr>
        <w:t xml:space="preserve"> Fisher, Waltham, MA, USA) was used. </w:t>
      </w:r>
      <w:r>
        <w:rPr>
          <w:rFonts w:ascii="Arial" w:hAnsi="Arial" w:cs="Arial"/>
          <w:sz w:val="24"/>
          <w:szCs w:val="24"/>
          <w:lang w:val="en-GB"/>
        </w:rPr>
        <w:t xml:space="preserve">Total bacteria, Enterobacteriaceae and Enterococcus </w:t>
      </w:r>
      <w:r>
        <w:rPr>
          <w:rFonts w:ascii="Arial" w:hAnsi="Arial" w:cs="Arial"/>
          <w:sz w:val="24"/>
          <w:szCs w:val="24"/>
          <w:lang w:val="en-GB"/>
        </w:rPr>
        <w:lastRenderedPageBreak/>
        <w:t xml:space="preserve">were assessed by qPCR of 16s rRNA. qPCR value of bacteria was normalized to the total amount of DNA (in µg) per mg of liver. Additional qPCR of GAPDH was performed for normalization. All gene expression data were expressed as relative to control WT mice. </w:t>
      </w:r>
    </w:p>
    <w:p w14:paraId="0BF7AA2C" w14:textId="77777777" w:rsidR="00EE7C12" w:rsidRDefault="00EE7C12" w:rsidP="00EE7C12">
      <w:pPr>
        <w:spacing w:after="160" w:line="259" w:lineRule="auto"/>
        <w:rPr>
          <w:rFonts w:cs="Arial"/>
          <w:b/>
          <w:bCs/>
        </w:rPr>
      </w:pPr>
    </w:p>
    <w:p w14:paraId="1641795A" w14:textId="05CC5C25" w:rsidR="00884A33" w:rsidRDefault="00884A33" w:rsidP="00EE7C12">
      <w:pPr>
        <w:spacing w:after="160" w:line="259" w:lineRule="auto"/>
        <w:rPr>
          <w:rFonts w:cs="Arial"/>
          <w:b/>
          <w:bCs/>
        </w:rPr>
      </w:pPr>
      <w:r>
        <w:rPr>
          <w:rFonts w:cs="Arial"/>
          <w:b/>
          <w:bCs/>
        </w:rPr>
        <w:t xml:space="preserve">Statistical analysis </w:t>
      </w:r>
    </w:p>
    <w:p w14:paraId="7D7EA905" w14:textId="581F4D91" w:rsidR="004F79C9" w:rsidRDefault="004F79C9" w:rsidP="00497F24">
      <w:pPr>
        <w:widowControl w:val="0"/>
        <w:autoSpaceDE w:val="0"/>
        <w:autoSpaceDN w:val="0"/>
        <w:adjustRightInd w:val="0"/>
        <w:jc w:val="both"/>
        <w:rPr>
          <w:rFonts w:eastAsia="Times New Roman" w:cs="Arial"/>
        </w:rPr>
      </w:pPr>
      <w:r>
        <w:rPr>
          <w:rFonts w:eastAsia="Times New Roman" w:cs="Arial"/>
        </w:rPr>
        <w:t>For microbiota analyses, s</w:t>
      </w:r>
      <w:r w:rsidRPr="008C4C98">
        <w:rPr>
          <w:rFonts w:eastAsia="Times New Roman" w:cs="Arial"/>
        </w:rPr>
        <w:t>tatistical analyses were performed using R version 3.4.3 (2017-11-30), (http://www.rproject.org) and the packages ‘</w:t>
      </w:r>
      <w:proofErr w:type="spellStart"/>
      <w:r w:rsidRPr="008C4C98">
        <w:rPr>
          <w:rFonts w:eastAsia="Times New Roman" w:cs="Arial"/>
        </w:rPr>
        <w:t>phyloseq</w:t>
      </w:r>
      <w:proofErr w:type="spellEnd"/>
      <w:r w:rsidRPr="008C4C98">
        <w:rPr>
          <w:rFonts w:eastAsia="Times New Roman" w:cs="Arial"/>
        </w:rPr>
        <w:t xml:space="preserve">’ </w:t>
      </w:r>
      <w:r w:rsidRPr="008C4C98">
        <w:rPr>
          <w:rFonts w:eastAsia="Times New Roman" w:cs="Arial"/>
        </w:rPr>
        <w:fldChar w:fldCharType="begin" w:fldLock="1"/>
      </w:r>
      <w:r w:rsidR="00EE7C12">
        <w:rPr>
          <w:rFonts w:eastAsia="Times New Roman" w:cs="Arial"/>
        </w:rPr>
        <w:instrText>ADDIN CSL_CITATION {"citationItems":[{"id":"ITEM-1","itemData":{"DOI":"10.1371/journal.pone.0061217","abstract":"BackgroundThe analysis of microbial communities through DNA sequencing brings many challenges: the integration of different types of data with methods from ecology, genetics, phylogenetics, multivariate statistics, visualization and testing. With the increased breadth of experimental designs now being pursued, project-specific statistical analyses are often needed, and these analyses are often difficult (or impossible) for peer researchers to independently reproduce. The vast majority of the requisite tools for performing these analyses reproducibly are already implemented in R and its extensions (packages), but with limited support for high throughput microbiome census data.ResultsHere we describe a software project, phyloseq, dedicated to the object-oriented representation and analysis of microbiome census data in R. It supports importing data from a variety of common formats, as well as many analysis techniques. These include calibration, filtering, subsetting, agglomeration, multi-table comparisons, diversity analysis, parallelized Fast UniFrac, ordination methods, and production of publication-quality graphics; all in a manner that is easy to document, share, and modify. We show how to apply functions from other R packages to phyloseq-represented data, illustrating the availability of a large number of open source analysis techniques. We discuss the use of phyloseq with tools for reproducible research, a practice common in other fields but still rare in the analysis of highly parallel microbiome census data. We have made available all of the materials necessary to completely reproduce the analysis and figures included in this article, an example of best practices for reproducible research.ConclusionsThe phyloseq project for R is a new open-source software package, freely available on the web from both GitHub and Bioconductor.","author":[{"dropping-particle":"","family":"McMurdie","given":"Paul J.","non-dropping-particle":"","parse-names":false,"suffix":""},{"dropping-particle":"","family":"Holmes","given":"Susan","non-dropping-particle":"","parse-names":false,"suffix":""}],"container-title":"PLoS ONE","id":"ITEM-1","issue":"4","issued":{"date-parts":[["2013","4"]]},"page":"e61217","title":"phyloseq: An R Package for Reproducible Interactive Analysis and Graphics of Microbiome Census Data","title-short":"phyloseq","type":"article-journal","volume":"8"},"uris":["http://www.mendeley.com/documents/?uuid=41c53559-4f7c-4efe-b7b6-02cb3f3c359a","http://www.mendeley.com/documents/?uuid=fb3ef994-19ef-4902-a57f-140646b62545"]}],"mendeley":{"formattedCitation":"(8)","plainTextFormattedCitation":"(8)","previouslyFormattedCitation":"(8)"},"properties":{"noteIndex":0},"schema":"https://github.com/citation-style-language/schema/raw/master/csl-citation.json"}</w:instrText>
      </w:r>
      <w:r w:rsidRPr="008C4C98">
        <w:rPr>
          <w:rFonts w:eastAsia="Times New Roman" w:cs="Arial"/>
        </w:rPr>
        <w:fldChar w:fldCharType="separate"/>
      </w:r>
      <w:r w:rsidR="009F1197" w:rsidRPr="009F1197">
        <w:rPr>
          <w:rFonts w:eastAsia="Times New Roman" w:cs="Arial"/>
          <w:noProof/>
        </w:rPr>
        <w:t>(8)</w:t>
      </w:r>
      <w:r w:rsidRPr="008C4C98">
        <w:rPr>
          <w:rFonts w:eastAsia="Times New Roman" w:cs="Arial"/>
        </w:rPr>
        <w:fldChar w:fldCharType="end"/>
      </w:r>
      <w:r w:rsidRPr="008C4C98">
        <w:rPr>
          <w:rFonts w:eastAsia="Times New Roman" w:cs="Arial"/>
        </w:rPr>
        <w:t xml:space="preserve">, and ‘ggplot2’ </w:t>
      </w:r>
      <w:r w:rsidRPr="000644EA">
        <w:rPr>
          <w:rFonts w:eastAsia="Times New Roman" w:cs="Arial"/>
        </w:rPr>
        <w:fldChar w:fldCharType="begin" w:fldLock="1"/>
      </w:r>
      <w:r w:rsidR="00EE7C12">
        <w:rPr>
          <w:rFonts w:eastAsia="Times New Roman" w:cs="Arial"/>
        </w:rPr>
        <w:instrText>ADDIN CSL_CITATION {"citationItems":[{"id":"ITEM-1","itemData":{"author":[{"dropping-particle":"","family":"Wickham","given":"Hadley","non-dropping-particle":"","parse-names":false,"suffix":""}],"id":"ITEM-1","issued":{"date-parts":[["2009"]]},"number-of-pages":"213","publisher":"Springer New York","title":"ggplot2: elegant graphics for data analysis","type":"book"},"uris":["http://www.mendeley.com/documents/?uuid=07c09a86-22ab-4a80-91d9-c450b9c09e4b","http://www.mendeley.com/documents/?uuid=cd42a6b8-8beb-414f-890f-4ca245b93ff4"]}],"mendeley":{"formattedCitation":"(11)","plainTextFormattedCitation":"(11)","previouslyFormattedCitation":"(11)"},"properties":{"noteIndex":0},"schema":"https://github.com/citation-style-language/schema/raw/master/csl-citation.json"}</w:instrText>
      </w:r>
      <w:r w:rsidRPr="000644EA">
        <w:rPr>
          <w:rFonts w:eastAsia="Times New Roman" w:cs="Arial"/>
        </w:rPr>
        <w:fldChar w:fldCharType="separate"/>
      </w:r>
      <w:r w:rsidR="009F1197" w:rsidRPr="009F1197">
        <w:rPr>
          <w:rFonts w:eastAsia="Times New Roman" w:cs="Arial"/>
          <w:noProof/>
        </w:rPr>
        <w:t>(11)</w:t>
      </w:r>
      <w:r w:rsidRPr="000644EA">
        <w:rPr>
          <w:rFonts w:eastAsia="Times New Roman" w:cs="Arial"/>
        </w:rPr>
        <w:fldChar w:fldCharType="end"/>
      </w:r>
      <w:r w:rsidRPr="000644EA">
        <w:rPr>
          <w:rFonts w:eastAsia="Times New Roman" w:cs="Arial"/>
        </w:rPr>
        <w:t xml:space="preserve">. </w:t>
      </w:r>
      <w:r w:rsidRPr="000644EA">
        <w:rPr>
          <w:rFonts w:cs="Arial"/>
        </w:rPr>
        <w:t>The p</w:t>
      </w:r>
      <w:r w:rsidRPr="000644EA">
        <w:rPr>
          <w:rFonts w:eastAsia="Times New Roman" w:cs="Arial"/>
        </w:rPr>
        <w:t>ermutational multivariate analysis of variance test (</w:t>
      </w:r>
      <w:r w:rsidRPr="00EB76FA">
        <w:rPr>
          <w:rFonts w:eastAsia="Times New Roman" w:cs="Arial"/>
        </w:rPr>
        <w:t xml:space="preserve">ADONIS) and Analysis of Similarities (ANOSIM) were computed with 999 permutations. </w:t>
      </w:r>
      <w:r w:rsidRPr="00EB76FA">
        <w:rPr>
          <w:rFonts w:cs="Arial"/>
        </w:rPr>
        <w:t>For ADONIS tests, a R</w:t>
      </w:r>
      <w:r w:rsidRPr="00EB76FA">
        <w:rPr>
          <w:rFonts w:cs="Arial"/>
          <w:vertAlign w:val="superscript"/>
        </w:rPr>
        <w:t>2</w:t>
      </w:r>
      <w:r w:rsidRPr="00EB76FA">
        <w:rPr>
          <w:rFonts w:cs="Arial"/>
        </w:rPr>
        <w:t xml:space="preserve"> &gt; 0.1 (</w:t>
      </w:r>
      <w:r w:rsidRPr="00EB76FA">
        <w:rPr>
          <w:rFonts w:eastAsia="Times New Roman" w:cs="Arial"/>
          <w:shd w:val="clear" w:color="auto" w:fill="FFFFFF"/>
        </w:rPr>
        <w:t>effect size 10%</w:t>
      </w:r>
      <w:r w:rsidRPr="00EB76FA">
        <w:rPr>
          <w:rFonts w:cs="Arial"/>
        </w:rPr>
        <w:t>) and P-value &lt; 0.05 was considered as significant. For ANOSIM tests, a R &gt; 0.2 and P-value &lt; 0.05 was considered as significant.</w:t>
      </w:r>
      <w:r>
        <w:rPr>
          <w:rFonts w:cs="Arial"/>
        </w:rPr>
        <w:t xml:space="preserve"> </w:t>
      </w:r>
      <w:r w:rsidRPr="004E4973">
        <w:rPr>
          <w:rFonts w:eastAsia="Times New Roman" w:cs="Arial"/>
        </w:rPr>
        <w:t>To determine</w:t>
      </w:r>
      <w:r w:rsidRPr="00870567">
        <w:rPr>
          <w:rFonts w:eastAsia="Times New Roman" w:cs="Arial"/>
        </w:rPr>
        <w:t xml:space="preserve"> differentially abundant (DA) </w:t>
      </w:r>
      <w:r>
        <w:rPr>
          <w:rFonts w:eastAsia="Times New Roman" w:cs="Arial"/>
        </w:rPr>
        <w:t xml:space="preserve">bacterial families, we used </w:t>
      </w:r>
      <w:r w:rsidRPr="004E4973">
        <w:rPr>
          <w:rFonts w:eastAsia="Times New Roman" w:cs="Arial"/>
        </w:rPr>
        <w:t>linear discriminant analysis (LDA) effect size</w:t>
      </w:r>
      <w:r>
        <w:rPr>
          <w:rFonts w:eastAsia="Times New Roman" w:cs="Arial"/>
        </w:rPr>
        <w:t xml:space="preserve"> (</w:t>
      </w:r>
      <w:proofErr w:type="spellStart"/>
      <w:r>
        <w:rPr>
          <w:rFonts w:eastAsia="Times New Roman" w:cs="Arial"/>
        </w:rPr>
        <w:t>LEfSe</w:t>
      </w:r>
      <w:proofErr w:type="spellEnd"/>
      <w:r>
        <w:rPr>
          <w:rFonts w:eastAsia="Times New Roman" w:cs="Arial"/>
        </w:rPr>
        <w:t>)</w:t>
      </w:r>
      <w:r>
        <w:rPr>
          <w:rFonts w:eastAsia="Times New Roman" w:cs="Arial"/>
        </w:rPr>
        <w:fldChar w:fldCharType="begin" w:fldLock="1"/>
      </w:r>
      <w:r w:rsidR="00EE7C12">
        <w:rPr>
          <w:rFonts w:eastAsia="Times New Roman" w:cs="Arial"/>
        </w:rPr>
        <w:instrText>ADDIN CSL_CITATION {"citationItems":[{"id":"ITEM-1","itemData":{"DOI":"10.1186/gb-2011-12-6-r60","ISBN":"1465-6914 (Electronic)\\n1465-6906 (Linking)","ISSN":"14747596","PMID":"21702898","abstract":"This study describes and validates a new method for metagenomic biomarker discovery by way of class comparison, tests of biological consistency and effect size estimation. This addresses the challenge of finding organisms, genes, or pathways that consistently explain the differences between two or more microbial communities, which is a central problem to the study of metagenomics. We extensively validate our method on several microbiomes and a convenient online interface for the method is provided at \\n                  http://huttenhower.sph.harvard.edu/lefse/\\n                  \\n                .","author":[{"dropping-particle":"","family":"Segata","given":"Nicola","non-dropping-particle":"","parse-names":false,"suffix":""},{"dropping-particle":"","family":"Izard","given":"Jacques","non-dropping-particle":"","parse-names":false,"suffix":""},{"dropping-particle":"","family":"Waldron","given":"Levi","non-dropping-particle":"","parse-names":false,"suffix":""},{"dropping-particle":"","family":"Gevers","given":"Dirk","non-dropping-particle":"","parse-names":false,"suffix":""},{"dropping-particle":"","family":"Miropolsky","given":"Larisa","non-dropping-particle":"","parse-names":false,"suffix":""},{"dropping-particle":"","family":"Garrett","given":"Wendy S.","non-dropping-particle":"","parse-names":false,"suffix":""},{"dropping-particle":"","family":"Huttenhower","given":"Curtis","non-dropping-particle":"","parse-names":false,"suffix":""}],"container-title":"Genome Biology","id":"ITEM-1","issue":"6","issued":{"date-parts":[["2011"]]},"title":"Metagenomic biomarker discovery and explanation","type":"article-journal","volume":"12"},"uris":["http://www.mendeley.com/documents/?uuid=7a8acc95-78be-4c12-9786-84dd3e146123"]}],"mendeley":{"formattedCitation":"(9)","plainTextFormattedCitation":"(9)","previouslyFormattedCitation":"(9)"},"properties":{"noteIndex":0},"schema":"https://github.com/citation-style-language/schema/raw/master/csl-citation.json"}</w:instrText>
      </w:r>
      <w:r>
        <w:rPr>
          <w:rFonts w:eastAsia="Times New Roman" w:cs="Arial"/>
        </w:rPr>
        <w:fldChar w:fldCharType="separate"/>
      </w:r>
      <w:r w:rsidR="009F1197" w:rsidRPr="009F1197">
        <w:rPr>
          <w:rFonts w:eastAsia="Times New Roman" w:cs="Arial"/>
          <w:noProof/>
        </w:rPr>
        <w:t>(9)</w:t>
      </w:r>
      <w:r>
        <w:rPr>
          <w:rFonts w:eastAsia="Times New Roman" w:cs="Arial"/>
        </w:rPr>
        <w:fldChar w:fldCharType="end"/>
      </w:r>
      <w:r>
        <w:rPr>
          <w:rFonts w:eastAsia="Times New Roman" w:cs="Arial"/>
        </w:rPr>
        <w:t xml:space="preserve"> method </w:t>
      </w:r>
      <w:r w:rsidRPr="004E4973">
        <w:rPr>
          <w:rFonts w:eastAsia="Times New Roman" w:cs="Arial"/>
        </w:rPr>
        <w:t>with Kruskal-Wallis test &lt;0.05 and LDA</w:t>
      </w:r>
      <w:r>
        <w:rPr>
          <w:rFonts w:eastAsia="Times New Roman" w:cs="Arial"/>
        </w:rPr>
        <w:t>.</w:t>
      </w:r>
    </w:p>
    <w:p w14:paraId="68D91C1A" w14:textId="7F270E50" w:rsidR="00884A33" w:rsidRPr="004F79C9" w:rsidRDefault="00884A33" w:rsidP="00497F24">
      <w:pPr>
        <w:widowControl w:val="0"/>
        <w:autoSpaceDE w:val="0"/>
        <w:autoSpaceDN w:val="0"/>
        <w:adjustRightInd w:val="0"/>
        <w:jc w:val="both"/>
        <w:rPr>
          <w:rFonts w:eastAsia="Times New Roman" w:cs="Arial"/>
        </w:rPr>
      </w:pPr>
      <w:r w:rsidRPr="001F1C20">
        <w:rPr>
          <w:rStyle w:val="apple-style-span"/>
          <w:rFonts w:cs="Arial"/>
          <w:lang w:val="en-GB"/>
        </w:rPr>
        <w:t>Statistical</w:t>
      </w:r>
      <w:r w:rsidR="001F1C20">
        <w:rPr>
          <w:rStyle w:val="apple-style-span"/>
          <w:rFonts w:cs="Arial"/>
          <w:lang w:val="en-GB"/>
        </w:rPr>
        <w:t xml:space="preserve"> analyses </w:t>
      </w:r>
      <w:r w:rsidRPr="001F1C20">
        <w:rPr>
          <w:rStyle w:val="apple-style-span"/>
          <w:rFonts w:cs="Arial"/>
          <w:lang w:val="en-GB"/>
        </w:rPr>
        <w:t>were performed with GraphPad</w:t>
      </w:r>
      <w:r w:rsidR="004F79C9">
        <w:rPr>
          <w:rStyle w:val="apple-style-span"/>
          <w:rFonts w:cs="Arial"/>
          <w:lang w:val="en-GB"/>
        </w:rPr>
        <w:t xml:space="preserve"> prism</w:t>
      </w:r>
      <w:r w:rsidRPr="001F1C20">
        <w:rPr>
          <w:rStyle w:val="apple-style-span"/>
          <w:rFonts w:cs="Arial"/>
          <w:lang w:val="en-GB"/>
        </w:rPr>
        <w:t xml:space="preserve"> software (version 7.0). For comparisons of 2 groups significance was tested by unpaired two-tailed Student’s t test. In case of more than 2 groups we employed one-way ANOVA followed by Tukey-test with adjusted p-value for multiple comparisons.</w:t>
      </w:r>
      <w:r w:rsidR="0011698E" w:rsidRPr="001F1C20">
        <w:rPr>
          <w:rStyle w:val="apple-style-span"/>
          <w:rFonts w:cs="Arial"/>
          <w:lang w:val="en-GB"/>
        </w:rPr>
        <w:t xml:space="preserve"> </w:t>
      </w:r>
      <w:r w:rsidR="0011698E" w:rsidRPr="001F1C20">
        <w:rPr>
          <w:rFonts w:cs="Arial"/>
        </w:rPr>
        <w:t xml:space="preserve">In case of small sample sizes, two groups were compared using Wilcoxon-Mann-Whitney-Test and in case of more than 2 groups Kruskal-Wallis test with Dunn-Bonferroni-Test. </w:t>
      </w:r>
      <w:r w:rsidRPr="001F1C20">
        <w:rPr>
          <w:rFonts w:cs="Arial"/>
        </w:rPr>
        <w:t>Data were considered significant between experimental groups as: * p &lt; 0.05, ** p &lt; 0.01 or *** p &lt; 0.001.</w:t>
      </w:r>
    </w:p>
    <w:p w14:paraId="33E60E66" w14:textId="5A982E53" w:rsidR="00812602" w:rsidRDefault="00812602" w:rsidP="00EC53DB">
      <w:pPr>
        <w:jc w:val="both"/>
        <w:outlineLvl w:val="0"/>
        <w:rPr>
          <w:rFonts w:cs="Arial"/>
          <w:b/>
          <w:bCs/>
        </w:rPr>
      </w:pPr>
    </w:p>
    <w:p w14:paraId="6876C9BA" w14:textId="77777777" w:rsidR="00F96C43" w:rsidRDefault="00F96C43">
      <w:pPr>
        <w:spacing w:after="160" w:line="259" w:lineRule="auto"/>
        <w:rPr>
          <w:rFonts w:cs="Arial"/>
          <w:b/>
          <w:bCs/>
        </w:rPr>
      </w:pPr>
      <w:r>
        <w:rPr>
          <w:rFonts w:cs="Arial"/>
          <w:b/>
          <w:bCs/>
        </w:rPr>
        <w:br w:type="page"/>
      </w:r>
    </w:p>
    <w:p w14:paraId="1B3605EA" w14:textId="77FE0E48" w:rsidR="00F96C43" w:rsidRDefault="00F96C43" w:rsidP="00EC53DB">
      <w:pPr>
        <w:jc w:val="both"/>
        <w:outlineLvl w:val="0"/>
        <w:rPr>
          <w:rFonts w:cs="Arial"/>
          <w:b/>
          <w:bCs/>
        </w:rPr>
      </w:pPr>
      <w:r>
        <w:rPr>
          <w:rFonts w:cs="Arial"/>
          <w:b/>
          <w:bCs/>
        </w:rPr>
        <w:lastRenderedPageBreak/>
        <w:t xml:space="preserve">Supplemental Table 1 </w:t>
      </w:r>
    </w:p>
    <w:p w14:paraId="1BE5D553" w14:textId="77777777" w:rsidR="00F96C43" w:rsidRPr="00585989" w:rsidRDefault="00F96C43" w:rsidP="00F96C43">
      <w:pPr>
        <w:pStyle w:val="Beschriftung"/>
        <w:keepNext/>
        <w:ind w:left="708" w:right="3066"/>
        <w:jc w:val="both"/>
        <w:rPr>
          <w:rFonts w:ascii="Arial" w:hAnsi="Arial" w:cs="Arial"/>
          <w:i w:val="0"/>
          <w:color w:val="000000" w:themeColor="text1"/>
          <w:sz w:val="20"/>
        </w:rPr>
      </w:pPr>
      <w:r w:rsidRPr="00585989">
        <w:rPr>
          <w:rFonts w:ascii="Arial" w:hAnsi="Arial" w:cs="Arial"/>
          <w:b/>
          <w:i w:val="0"/>
          <w:color w:val="000000" w:themeColor="text1"/>
          <w:sz w:val="20"/>
        </w:rPr>
        <w:t xml:space="preserve">Table </w:t>
      </w:r>
      <w:r w:rsidRPr="00585989">
        <w:rPr>
          <w:rFonts w:ascii="Arial" w:hAnsi="Arial" w:cs="Arial"/>
          <w:b/>
          <w:i w:val="0"/>
          <w:color w:val="000000" w:themeColor="text1"/>
          <w:sz w:val="20"/>
        </w:rPr>
        <w:fldChar w:fldCharType="begin"/>
      </w:r>
      <w:r w:rsidRPr="00585989">
        <w:rPr>
          <w:rFonts w:ascii="Arial" w:hAnsi="Arial" w:cs="Arial"/>
          <w:b/>
          <w:i w:val="0"/>
          <w:color w:val="000000" w:themeColor="text1"/>
          <w:sz w:val="20"/>
        </w:rPr>
        <w:instrText xml:space="preserve"> SEQ Table \* ARABIC </w:instrText>
      </w:r>
      <w:r w:rsidRPr="00585989">
        <w:rPr>
          <w:rFonts w:ascii="Arial" w:hAnsi="Arial" w:cs="Arial"/>
          <w:b/>
          <w:i w:val="0"/>
          <w:color w:val="000000" w:themeColor="text1"/>
          <w:sz w:val="20"/>
        </w:rPr>
        <w:fldChar w:fldCharType="separate"/>
      </w:r>
      <w:r w:rsidRPr="00585989">
        <w:rPr>
          <w:rFonts w:ascii="Arial" w:hAnsi="Arial" w:cs="Arial"/>
          <w:b/>
          <w:i w:val="0"/>
          <w:noProof/>
          <w:color w:val="000000" w:themeColor="text1"/>
          <w:sz w:val="20"/>
        </w:rPr>
        <w:t>1</w:t>
      </w:r>
      <w:r w:rsidRPr="00585989">
        <w:rPr>
          <w:rFonts w:ascii="Arial" w:hAnsi="Arial" w:cs="Arial"/>
          <w:b/>
          <w:i w:val="0"/>
          <w:color w:val="000000" w:themeColor="text1"/>
          <w:sz w:val="20"/>
        </w:rPr>
        <w:fldChar w:fldCharType="end"/>
      </w:r>
      <w:r w:rsidRPr="00585989">
        <w:rPr>
          <w:rFonts w:ascii="Arial" w:hAnsi="Arial" w:cs="Arial"/>
          <w:b/>
          <w:i w:val="0"/>
          <w:color w:val="000000" w:themeColor="text1"/>
          <w:sz w:val="20"/>
        </w:rPr>
        <w:t xml:space="preserve">: </w:t>
      </w:r>
      <w:r w:rsidRPr="00585989">
        <w:rPr>
          <w:rFonts w:ascii="Arial" w:hAnsi="Arial" w:cs="Arial"/>
          <w:i w:val="0"/>
          <w:color w:val="000000" w:themeColor="text1"/>
          <w:sz w:val="20"/>
        </w:rPr>
        <w:t xml:space="preserve">Patient cohort used in the study (n=11). Age and disease activity parameters are given as mean values. </w:t>
      </w:r>
      <w:r w:rsidRPr="00585989">
        <w:rPr>
          <w:rFonts w:ascii="Arial" w:hAnsi="Arial" w:cs="Arial"/>
          <w:color w:val="000000" w:themeColor="text1"/>
          <w:sz w:val="20"/>
        </w:rPr>
        <w:t>“NLRP3”</w:t>
      </w:r>
      <w:r w:rsidRPr="00585989">
        <w:rPr>
          <w:rFonts w:ascii="Arial" w:hAnsi="Arial" w:cs="Arial"/>
          <w:i w:val="0"/>
          <w:color w:val="000000" w:themeColor="text1"/>
          <w:sz w:val="20"/>
        </w:rPr>
        <w:t xml:space="preserve"> and </w:t>
      </w:r>
      <w:r w:rsidRPr="00585989">
        <w:rPr>
          <w:rFonts w:ascii="Arial" w:hAnsi="Arial" w:cs="Arial"/>
          <w:color w:val="000000" w:themeColor="text1"/>
          <w:sz w:val="20"/>
        </w:rPr>
        <w:t>“IL-1</w:t>
      </w:r>
      <w:r w:rsidRPr="00585989">
        <w:rPr>
          <w:rFonts w:ascii="Arial" w:hAnsi="Arial" w:cs="Arial"/>
          <w:color w:val="000000" w:themeColor="text1"/>
          <w:sz w:val="20"/>
        </w:rPr>
        <w:sym w:font="Symbol" w:char="F062"/>
      </w:r>
      <w:r w:rsidRPr="00585989">
        <w:rPr>
          <w:rFonts w:ascii="Arial" w:hAnsi="Arial" w:cs="Arial"/>
          <w:color w:val="000000" w:themeColor="text1"/>
          <w:sz w:val="20"/>
        </w:rPr>
        <w:t>”</w:t>
      </w:r>
      <w:r w:rsidRPr="00585989">
        <w:rPr>
          <w:rFonts w:ascii="Arial" w:hAnsi="Arial" w:cs="Arial"/>
          <w:i w:val="0"/>
          <w:color w:val="000000" w:themeColor="text1"/>
          <w:sz w:val="20"/>
        </w:rPr>
        <w:t xml:space="preserve"> indicate the average score observed in patients with the respective grade of hepatic fibrosis (information retrievable for 8 patients). Disease activity parameters were collectable for 10 patients. MELD score: “Model for end-stage liver disease” score. GOT: glutamic-oxaloacetic transaminase. GPT: glutamic-pyru</w:t>
      </w:r>
      <w:r>
        <w:rPr>
          <w:rFonts w:ascii="Arial" w:hAnsi="Arial" w:cs="Arial"/>
          <w:i w:val="0"/>
          <w:color w:val="000000" w:themeColor="text1"/>
          <w:sz w:val="20"/>
        </w:rPr>
        <w:t>v</w:t>
      </w:r>
      <w:r w:rsidRPr="00585989">
        <w:rPr>
          <w:rFonts w:ascii="Arial" w:hAnsi="Arial" w:cs="Arial"/>
          <w:i w:val="0"/>
          <w:color w:val="000000" w:themeColor="text1"/>
          <w:sz w:val="20"/>
        </w:rPr>
        <w:t>ic transaminase.</w:t>
      </w:r>
    </w:p>
    <w:tbl>
      <w:tblPr>
        <w:tblStyle w:val="Style2"/>
        <w:tblW w:w="5695" w:type="dxa"/>
        <w:tblInd w:w="708" w:type="dxa"/>
        <w:tblLook w:val="04A0" w:firstRow="1" w:lastRow="0" w:firstColumn="1" w:lastColumn="0" w:noHBand="0" w:noVBand="1"/>
      </w:tblPr>
      <w:tblGrid>
        <w:gridCol w:w="2243"/>
        <w:gridCol w:w="1150"/>
        <w:gridCol w:w="1150"/>
        <w:gridCol w:w="1152"/>
      </w:tblGrid>
      <w:tr w:rsidR="00F96C43" w:rsidRPr="00585989" w14:paraId="3B168DFF" w14:textId="77777777" w:rsidTr="001C2ED1">
        <w:trPr>
          <w:trHeight w:val="237"/>
        </w:trPr>
        <w:tc>
          <w:tcPr>
            <w:tcW w:w="2243" w:type="dxa"/>
            <w:tcBorders>
              <w:top w:val="single" w:sz="18" w:space="0" w:color="auto"/>
            </w:tcBorders>
            <w:vAlign w:val="center"/>
          </w:tcPr>
          <w:p w14:paraId="5B35866D" w14:textId="77777777" w:rsidR="00F96C43" w:rsidRPr="00585989" w:rsidRDefault="00F96C43" w:rsidP="00F96C43">
            <w:pPr>
              <w:spacing w:line="240" w:lineRule="auto"/>
              <w:jc w:val="center"/>
              <w:rPr>
                <w:rFonts w:cs="Arial"/>
                <w:sz w:val="22"/>
              </w:rPr>
            </w:pPr>
          </w:p>
        </w:tc>
        <w:tc>
          <w:tcPr>
            <w:tcW w:w="1150" w:type="dxa"/>
            <w:tcBorders>
              <w:top w:val="single" w:sz="18" w:space="0" w:color="auto"/>
              <w:bottom w:val="single" w:sz="8" w:space="0" w:color="auto"/>
            </w:tcBorders>
            <w:vAlign w:val="center"/>
          </w:tcPr>
          <w:p w14:paraId="2F72E30F" w14:textId="77777777" w:rsidR="00F96C43" w:rsidRPr="00585989" w:rsidRDefault="00F96C43" w:rsidP="00F96C43">
            <w:pPr>
              <w:spacing w:line="240" w:lineRule="auto"/>
              <w:jc w:val="center"/>
              <w:rPr>
                <w:rFonts w:cs="Arial"/>
                <w:b/>
                <w:sz w:val="22"/>
              </w:rPr>
            </w:pPr>
            <w:r w:rsidRPr="00585989">
              <w:rPr>
                <w:rFonts w:cs="Arial"/>
                <w:b/>
                <w:sz w:val="22"/>
              </w:rPr>
              <w:t>Total</w:t>
            </w:r>
          </w:p>
        </w:tc>
        <w:tc>
          <w:tcPr>
            <w:tcW w:w="1150" w:type="dxa"/>
            <w:tcBorders>
              <w:top w:val="single" w:sz="18" w:space="0" w:color="auto"/>
            </w:tcBorders>
            <w:vAlign w:val="center"/>
          </w:tcPr>
          <w:p w14:paraId="657D79A8" w14:textId="77777777" w:rsidR="00F96C43" w:rsidRPr="00585989" w:rsidRDefault="00F96C43" w:rsidP="00F96C43">
            <w:pPr>
              <w:spacing w:line="240" w:lineRule="auto"/>
              <w:jc w:val="center"/>
              <w:rPr>
                <w:rFonts w:cs="Arial"/>
                <w:b/>
                <w:sz w:val="22"/>
              </w:rPr>
            </w:pPr>
          </w:p>
        </w:tc>
        <w:tc>
          <w:tcPr>
            <w:tcW w:w="1152" w:type="dxa"/>
            <w:tcBorders>
              <w:top w:val="single" w:sz="18" w:space="0" w:color="auto"/>
            </w:tcBorders>
            <w:vAlign w:val="center"/>
          </w:tcPr>
          <w:p w14:paraId="19B11F9D" w14:textId="77777777" w:rsidR="00F96C43" w:rsidRPr="00585989" w:rsidRDefault="00F96C43" w:rsidP="00F96C43">
            <w:pPr>
              <w:spacing w:line="240" w:lineRule="auto"/>
              <w:jc w:val="center"/>
              <w:rPr>
                <w:rFonts w:cs="Arial"/>
                <w:b/>
                <w:sz w:val="22"/>
              </w:rPr>
            </w:pPr>
          </w:p>
        </w:tc>
      </w:tr>
      <w:tr w:rsidR="00F96C43" w:rsidRPr="00585989" w14:paraId="4D8C4497" w14:textId="77777777" w:rsidTr="001C2ED1">
        <w:trPr>
          <w:trHeight w:val="92"/>
        </w:trPr>
        <w:tc>
          <w:tcPr>
            <w:tcW w:w="2243" w:type="dxa"/>
            <w:vAlign w:val="center"/>
          </w:tcPr>
          <w:p w14:paraId="6B523FCF" w14:textId="77777777" w:rsidR="00F96C43" w:rsidRPr="00585989" w:rsidRDefault="00F96C43" w:rsidP="00F96C43">
            <w:pPr>
              <w:spacing w:line="240" w:lineRule="auto"/>
              <w:rPr>
                <w:rFonts w:cs="Arial"/>
                <w:b/>
                <w:sz w:val="22"/>
              </w:rPr>
            </w:pPr>
          </w:p>
        </w:tc>
        <w:tc>
          <w:tcPr>
            <w:tcW w:w="1150" w:type="dxa"/>
            <w:vAlign w:val="center"/>
          </w:tcPr>
          <w:p w14:paraId="4D66CFAD" w14:textId="77777777" w:rsidR="00F96C43" w:rsidRPr="00585989" w:rsidRDefault="00F96C43" w:rsidP="00F96C43">
            <w:pPr>
              <w:spacing w:line="240" w:lineRule="auto"/>
              <w:jc w:val="center"/>
              <w:rPr>
                <w:rFonts w:cs="Arial"/>
                <w:sz w:val="22"/>
              </w:rPr>
            </w:pPr>
          </w:p>
        </w:tc>
        <w:tc>
          <w:tcPr>
            <w:tcW w:w="1150" w:type="dxa"/>
            <w:tcBorders>
              <w:bottom w:val="single" w:sz="8" w:space="0" w:color="auto"/>
            </w:tcBorders>
            <w:vAlign w:val="center"/>
          </w:tcPr>
          <w:p w14:paraId="7C39F3D7" w14:textId="77777777" w:rsidR="00F96C43" w:rsidRPr="00585989" w:rsidRDefault="00F96C43" w:rsidP="00F96C43">
            <w:pPr>
              <w:spacing w:line="240" w:lineRule="auto"/>
              <w:jc w:val="center"/>
              <w:rPr>
                <w:rFonts w:cs="Arial"/>
                <w:i/>
                <w:sz w:val="22"/>
              </w:rPr>
            </w:pPr>
            <w:r w:rsidRPr="00585989">
              <w:rPr>
                <w:rFonts w:cs="Arial"/>
                <w:i/>
                <w:sz w:val="22"/>
              </w:rPr>
              <w:t>m</w:t>
            </w:r>
          </w:p>
        </w:tc>
        <w:tc>
          <w:tcPr>
            <w:tcW w:w="1152" w:type="dxa"/>
            <w:tcBorders>
              <w:bottom w:val="single" w:sz="8" w:space="0" w:color="auto"/>
            </w:tcBorders>
            <w:vAlign w:val="center"/>
          </w:tcPr>
          <w:p w14:paraId="564C70B2" w14:textId="77777777" w:rsidR="00F96C43" w:rsidRPr="00585989" w:rsidRDefault="00F96C43" w:rsidP="00F96C43">
            <w:pPr>
              <w:spacing w:line="240" w:lineRule="auto"/>
              <w:jc w:val="center"/>
              <w:rPr>
                <w:rFonts w:cs="Arial"/>
                <w:i/>
                <w:sz w:val="22"/>
              </w:rPr>
            </w:pPr>
            <w:r w:rsidRPr="00585989">
              <w:rPr>
                <w:rFonts w:cs="Arial"/>
                <w:i/>
                <w:sz w:val="22"/>
              </w:rPr>
              <w:t>f</w:t>
            </w:r>
          </w:p>
        </w:tc>
      </w:tr>
      <w:tr w:rsidR="00F96C43" w:rsidRPr="00585989" w14:paraId="17F848D8" w14:textId="77777777" w:rsidTr="001C2ED1">
        <w:trPr>
          <w:trHeight w:val="92"/>
        </w:trPr>
        <w:tc>
          <w:tcPr>
            <w:tcW w:w="2243" w:type="dxa"/>
            <w:vAlign w:val="center"/>
          </w:tcPr>
          <w:p w14:paraId="19302C39" w14:textId="77777777" w:rsidR="00F96C43" w:rsidRPr="00585989" w:rsidRDefault="00F96C43" w:rsidP="00F96C43">
            <w:pPr>
              <w:spacing w:line="240" w:lineRule="auto"/>
              <w:rPr>
                <w:rFonts w:cs="Arial"/>
                <w:b/>
                <w:sz w:val="22"/>
              </w:rPr>
            </w:pPr>
            <w:r w:rsidRPr="00585989">
              <w:rPr>
                <w:rFonts w:cs="Arial"/>
                <w:b/>
                <w:sz w:val="22"/>
              </w:rPr>
              <w:t>n</w:t>
            </w:r>
          </w:p>
        </w:tc>
        <w:tc>
          <w:tcPr>
            <w:tcW w:w="1150" w:type="dxa"/>
            <w:vAlign w:val="center"/>
          </w:tcPr>
          <w:p w14:paraId="681D589A" w14:textId="77777777" w:rsidR="00F96C43" w:rsidRPr="00585989" w:rsidRDefault="00F96C43" w:rsidP="00F96C43">
            <w:pPr>
              <w:spacing w:line="240" w:lineRule="auto"/>
              <w:jc w:val="center"/>
              <w:rPr>
                <w:rFonts w:cs="Arial"/>
                <w:sz w:val="22"/>
              </w:rPr>
            </w:pPr>
            <w:r w:rsidRPr="00585989">
              <w:rPr>
                <w:rFonts w:cs="Arial"/>
                <w:sz w:val="22"/>
              </w:rPr>
              <w:t>11</w:t>
            </w:r>
          </w:p>
        </w:tc>
        <w:tc>
          <w:tcPr>
            <w:tcW w:w="1150" w:type="dxa"/>
            <w:tcBorders>
              <w:top w:val="single" w:sz="8" w:space="0" w:color="auto"/>
            </w:tcBorders>
            <w:vAlign w:val="center"/>
          </w:tcPr>
          <w:p w14:paraId="48DCFA3D" w14:textId="77777777" w:rsidR="00F96C43" w:rsidRPr="00585989" w:rsidRDefault="00F96C43" w:rsidP="00F96C43">
            <w:pPr>
              <w:spacing w:line="240" w:lineRule="auto"/>
              <w:jc w:val="center"/>
              <w:rPr>
                <w:rFonts w:cs="Arial"/>
                <w:sz w:val="22"/>
              </w:rPr>
            </w:pPr>
          </w:p>
        </w:tc>
        <w:tc>
          <w:tcPr>
            <w:tcW w:w="1152" w:type="dxa"/>
            <w:tcBorders>
              <w:top w:val="single" w:sz="8" w:space="0" w:color="auto"/>
            </w:tcBorders>
            <w:vAlign w:val="center"/>
          </w:tcPr>
          <w:p w14:paraId="6078DE62" w14:textId="77777777" w:rsidR="00F96C43" w:rsidRPr="00585989" w:rsidRDefault="00F96C43" w:rsidP="00F96C43">
            <w:pPr>
              <w:spacing w:line="240" w:lineRule="auto"/>
              <w:jc w:val="center"/>
              <w:rPr>
                <w:rFonts w:cs="Arial"/>
                <w:sz w:val="22"/>
              </w:rPr>
            </w:pPr>
          </w:p>
        </w:tc>
      </w:tr>
      <w:tr w:rsidR="00F96C43" w:rsidRPr="00585989" w14:paraId="202F760E" w14:textId="77777777" w:rsidTr="001C2ED1">
        <w:trPr>
          <w:trHeight w:val="92"/>
        </w:trPr>
        <w:tc>
          <w:tcPr>
            <w:tcW w:w="2243" w:type="dxa"/>
            <w:vAlign w:val="center"/>
          </w:tcPr>
          <w:p w14:paraId="2B0F47E2" w14:textId="77777777" w:rsidR="00F96C43" w:rsidRPr="00585989" w:rsidRDefault="00F96C43" w:rsidP="00F96C43">
            <w:pPr>
              <w:spacing w:line="240" w:lineRule="auto"/>
              <w:ind w:left="180"/>
              <w:rPr>
                <w:rFonts w:cs="Arial"/>
                <w:sz w:val="22"/>
              </w:rPr>
            </w:pPr>
            <w:r w:rsidRPr="00585989">
              <w:rPr>
                <w:rFonts w:cs="Arial"/>
                <w:sz w:val="22"/>
              </w:rPr>
              <w:t>Sex</w:t>
            </w:r>
          </w:p>
        </w:tc>
        <w:tc>
          <w:tcPr>
            <w:tcW w:w="1150" w:type="dxa"/>
            <w:vAlign w:val="center"/>
          </w:tcPr>
          <w:p w14:paraId="04457289" w14:textId="77777777" w:rsidR="00F96C43" w:rsidRPr="00585989" w:rsidRDefault="00F96C43" w:rsidP="00F96C43">
            <w:pPr>
              <w:spacing w:line="240" w:lineRule="auto"/>
              <w:jc w:val="center"/>
              <w:rPr>
                <w:rFonts w:cs="Arial"/>
                <w:sz w:val="22"/>
              </w:rPr>
            </w:pPr>
          </w:p>
        </w:tc>
        <w:tc>
          <w:tcPr>
            <w:tcW w:w="1150" w:type="dxa"/>
            <w:vAlign w:val="center"/>
          </w:tcPr>
          <w:p w14:paraId="7747A58B" w14:textId="77777777" w:rsidR="00F96C43" w:rsidRPr="00585989" w:rsidRDefault="00F96C43" w:rsidP="00F96C43">
            <w:pPr>
              <w:spacing w:line="240" w:lineRule="auto"/>
              <w:jc w:val="center"/>
              <w:rPr>
                <w:rFonts w:cs="Arial"/>
                <w:sz w:val="22"/>
              </w:rPr>
            </w:pPr>
            <w:r w:rsidRPr="00585989">
              <w:rPr>
                <w:rFonts w:cs="Arial"/>
                <w:sz w:val="22"/>
              </w:rPr>
              <w:t>5</w:t>
            </w:r>
          </w:p>
        </w:tc>
        <w:tc>
          <w:tcPr>
            <w:tcW w:w="1152" w:type="dxa"/>
            <w:vAlign w:val="center"/>
          </w:tcPr>
          <w:p w14:paraId="12A6B30B" w14:textId="77777777" w:rsidR="00F96C43" w:rsidRPr="00585989" w:rsidRDefault="00F96C43" w:rsidP="00F96C43">
            <w:pPr>
              <w:spacing w:line="240" w:lineRule="auto"/>
              <w:jc w:val="center"/>
              <w:rPr>
                <w:rFonts w:cs="Arial"/>
                <w:sz w:val="22"/>
              </w:rPr>
            </w:pPr>
            <w:r w:rsidRPr="00585989">
              <w:rPr>
                <w:rFonts w:cs="Arial"/>
                <w:sz w:val="22"/>
              </w:rPr>
              <w:t>6</w:t>
            </w:r>
          </w:p>
        </w:tc>
      </w:tr>
      <w:tr w:rsidR="00F96C43" w:rsidRPr="00585989" w14:paraId="325A6615" w14:textId="77777777" w:rsidTr="001C2ED1">
        <w:trPr>
          <w:trHeight w:val="92"/>
        </w:trPr>
        <w:tc>
          <w:tcPr>
            <w:tcW w:w="2243" w:type="dxa"/>
            <w:vAlign w:val="center"/>
          </w:tcPr>
          <w:p w14:paraId="57D0AE62" w14:textId="77777777" w:rsidR="00F96C43" w:rsidRPr="00585989" w:rsidRDefault="00F96C43" w:rsidP="00F96C43">
            <w:pPr>
              <w:spacing w:line="240" w:lineRule="auto"/>
              <w:ind w:left="180"/>
              <w:rPr>
                <w:rFonts w:cs="Arial"/>
                <w:sz w:val="22"/>
              </w:rPr>
            </w:pPr>
            <w:r w:rsidRPr="00585989">
              <w:rPr>
                <w:rFonts w:cs="Arial"/>
                <w:sz w:val="22"/>
              </w:rPr>
              <w:t>Age</w:t>
            </w:r>
          </w:p>
        </w:tc>
        <w:tc>
          <w:tcPr>
            <w:tcW w:w="1150" w:type="dxa"/>
            <w:vAlign w:val="center"/>
          </w:tcPr>
          <w:p w14:paraId="7BBEC163" w14:textId="77777777" w:rsidR="00F96C43" w:rsidRPr="00585989" w:rsidRDefault="00F96C43" w:rsidP="00F96C43">
            <w:pPr>
              <w:spacing w:line="240" w:lineRule="auto"/>
              <w:jc w:val="center"/>
              <w:rPr>
                <w:rFonts w:cs="Arial"/>
                <w:sz w:val="22"/>
              </w:rPr>
            </w:pPr>
            <w:r w:rsidRPr="00585989">
              <w:rPr>
                <w:rFonts w:cs="Arial"/>
                <w:sz w:val="22"/>
              </w:rPr>
              <w:t>44,2</w:t>
            </w:r>
          </w:p>
        </w:tc>
        <w:tc>
          <w:tcPr>
            <w:tcW w:w="1150" w:type="dxa"/>
            <w:vAlign w:val="center"/>
          </w:tcPr>
          <w:p w14:paraId="600DE05C" w14:textId="77777777" w:rsidR="00F96C43" w:rsidRPr="00585989" w:rsidRDefault="00F96C43" w:rsidP="00F96C43">
            <w:pPr>
              <w:spacing w:line="240" w:lineRule="auto"/>
              <w:jc w:val="center"/>
              <w:rPr>
                <w:rFonts w:cs="Arial"/>
                <w:sz w:val="22"/>
              </w:rPr>
            </w:pPr>
            <w:r w:rsidRPr="00585989">
              <w:rPr>
                <w:rFonts w:cs="Arial"/>
                <w:sz w:val="22"/>
              </w:rPr>
              <w:t>32</w:t>
            </w:r>
          </w:p>
        </w:tc>
        <w:tc>
          <w:tcPr>
            <w:tcW w:w="1152" w:type="dxa"/>
            <w:vAlign w:val="center"/>
          </w:tcPr>
          <w:p w14:paraId="0F650AC2" w14:textId="77777777" w:rsidR="00F96C43" w:rsidRPr="00585989" w:rsidRDefault="00F96C43" w:rsidP="00F96C43">
            <w:pPr>
              <w:spacing w:line="240" w:lineRule="auto"/>
              <w:jc w:val="center"/>
              <w:rPr>
                <w:rFonts w:cs="Arial"/>
                <w:sz w:val="22"/>
              </w:rPr>
            </w:pPr>
            <w:r w:rsidRPr="00585989">
              <w:rPr>
                <w:rFonts w:cs="Arial"/>
                <w:sz w:val="22"/>
              </w:rPr>
              <w:t>54,5</w:t>
            </w:r>
          </w:p>
        </w:tc>
      </w:tr>
      <w:tr w:rsidR="00F96C43" w:rsidRPr="00585989" w14:paraId="6940D93B" w14:textId="77777777" w:rsidTr="001C2ED1">
        <w:trPr>
          <w:trHeight w:val="92"/>
        </w:trPr>
        <w:tc>
          <w:tcPr>
            <w:tcW w:w="2243" w:type="dxa"/>
            <w:vAlign w:val="center"/>
          </w:tcPr>
          <w:p w14:paraId="510AF08B" w14:textId="77777777" w:rsidR="00F96C43" w:rsidRPr="00585989" w:rsidRDefault="00F96C43" w:rsidP="00F96C43">
            <w:pPr>
              <w:spacing w:line="240" w:lineRule="auto"/>
              <w:ind w:left="180"/>
              <w:rPr>
                <w:rFonts w:cs="Arial"/>
                <w:sz w:val="22"/>
              </w:rPr>
            </w:pPr>
          </w:p>
        </w:tc>
        <w:tc>
          <w:tcPr>
            <w:tcW w:w="1150" w:type="dxa"/>
            <w:vAlign w:val="center"/>
          </w:tcPr>
          <w:p w14:paraId="2BBAF830" w14:textId="77777777" w:rsidR="00F96C43" w:rsidRPr="00585989" w:rsidRDefault="00F96C43" w:rsidP="00F96C43">
            <w:pPr>
              <w:spacing w:line="240" w:lineRule="auto"/>
              <w:jc w:val="center"/>
              <w:rPr>
                <w:rFonts w:cs="Arial"/>
                <w:sz w:val="22"/>
              </w:rPr>
            </w:pPr>
          </w:p>
        </w:tc>
        <w:tc>
          <w:tcPr>
            <w:tcW w:w="1150" w:type="dxa"/>
            <w:vAlign w:val="center"/>
          </w:tcPr>
          <w:p w14:paraId="3ED00E4C" w14:textId="77777777" w:rsidR="00F96C43" w:rsidRPr="00585989" w:rsidRDefault="00F96C43" w:rsidP="00F96C43">
            <w:pPr>
              <w:spacing w:line="240" w:lineRule="auto"/>
              <w:jc w:val="center"/>
              <w:rPr>
                <w:rFonts w:cs="Arial"/>
                <w:sz w:val="22"/>
              </w:rPr>
            </w:pPr>
          </w:p>
        </w:tc>
        <w:tc>
          <w:tcPr>
            <w:tcW w:w="1152" w:type="dxa"/>
            <w:vAlign w:val="center"/>
          </w:tcPr>
          <w:p w14:paraId="4EC150AD" w14:textId="77777777" w:rsidR="00F96C43" w:rsidRPr="00585989" w:rsidRDefault="00F96C43" w:rsidP="00F96C43">
            <w:pPr>
              <w:spacing w:line="240" w:lineRule="auto"/>
              <w:jc w:val="center"/>
              <w:rPr>
                <w:rFonts w:cs="Arial"/>
                <w:sz w:val="22"/>
              </w:rPr>
            </w:pPr>
          </w:p>
        </w:tc>
      </w:tr>
      <w:tr w:rsidR="00F96C43" w:rsidRPr="00585989" w14:paraId="138742A8" w14:textId="77777777" w:rsidTr="001C2ED1">
        <w:trPr>
          <w:trHeight w:val="98"/>
        </w:trPr>
        <w:tc>
          <w:tcPr>
            <w:tcW w:w="2243" w:type="dxa"/>
            <w:vAlign w:val="center"/>
          </w:tcPr>
          <w:p w14:paraId="77DAAB36" w14:textId="77777777" w:rsidR="00F96C43" w:rsidRPr="00585989" w:rsidRDefault="00F96C43" w:rsidP="00F96C43">
            <w:pPr>
              <w:spacing w:line="240" w:lineRule="auto"/>
              <w:rPr>
                <w:rFonts w:cs="Arial"/>
                <w:sz w:val="22"/>
              </w:rPr>
            </w:pPr>
          </w:p>
        </w:tc>
        <w:tc>
          <w:tcPr>
            <w:tcW w:w="1150" w:type="dxa"/>
            <w:vAlign w:val="center"/>
          </w:tcPr>
          <w:p w14:paraId="1AE71D59" w14:textId="77777777" w:rsidR="00F96C43" w:rsidRPr="00585989" w:rsidRDefault="00F96C43" w:rsidP="00F96C43">
            <w:pPr>
              <w:spacing w:line="240" w:lineRule="auto"/>
              <w:jc w:val="center"/>
              <w:rPr>
                <w:rFonts w:cs="Arial"/>
                <w:sz w:val="22"/>
              </w:rPr>
            </w:pPr>
          </w:p>
        </w:tc>
        <w:tc>
          <w:tcPr>
            <w:tcW w:w="1150" w:type="dxa"/>
            <w:tcBorders>
              <w:bottom w:val="single" w:sz="8" w:space="0" w:color="auto"/>
            </w:tcBorders>
            <w:vAlign w:val="center"/>
          </w:tcPr>
          <w:p w14:paraId="2F5D9402" w14:textId="77777777" w:rsidR="00F96C43" w:rsidRPr="00585989" w:rsidRDefault="00F96C43" w:rsidP="00F96C43">
            <w:pPr>
              <w:spacing w:line="240" w:lineRule="auto"/>
              <w:jc w:val="center"/>
              <w:rPr>
                <w:rFonts w:cs="Arial"/>
                <w:sz w:val="22"/>
              </w:rPr>
            </w:pPr>
            <w:r w:rsidRPr="00585989">
              <w:rPr>
                <w:rFonts w:cs="Arial"/>
                <w:i/>
                <w:sz w:val="22"/>
              </w:rPr>
              <w:t>NLRP3</w:t>
            </w:r>
          </w:p>
        </w:tc>
        <w:tc>
          <w:tcPr>
            <w:tcW w:w="1152" w:type="dxa"/>
            <w:tcBorders>
              <w:bottom w:val="single" w:sz="8" w:space="0" w:color="auto"/>
            </w:tcBorders>
            <w:vAlign w:val="center"/>
          </w:tcPr>
          <w:p w14:paraId="3403DECE" w14:textId="77777777" w:rsidR="00F96C43" w:rsidRPr="00585989" w:rsidRDefault="00F96C43" w:rsidP="00F96C43">
            <w:pPr>
              <w:spacing w:line="240" w:lineRule="auto"/>
              <w:jc w:val="center"/>
              <w:rPr>
                <w:rFonts w:cs="Arial"/>
                <w:sz w:val="22"/>
              </w:rPr>
            </w:pPr>
            <w:r w:rsidRPr="00585989">
              <w:rPr>
                <w:rFonts w:cs="Arial"/>
                <w:i/>
                <w:sz w:val="22"/>
              </w:rPr>
              <w:t>IL-1</w:t>
            </w:r>
            <w:r w:rsidRPr="00585989">
              <w:rPr>
                <w:rFonts w:cs="Arial"/>
                <w:i/>
                <w:sz w:val="22"/>
              </w:rPr>
              <w:sym w:font="Symbol" w:char="F062"/>
            </w:r>
          </w:p>
        </w:tc>
      </w:tr>
      <w:tr w:rsidR="00F96C43" w:rsidRPr="00FD6474" w14:paraId="5C65E828" w14:textId="77777777" w:rsidTr="001C2ED1">
        <w:trPr>
          <w:trHeight w:val="98"/>
        </w:trPr>
        <w:tc>
          <w:tcPr>
            <w:tcW w:w="2243" w:type="dxa"/>
            <w:vAlign w:val="center"/>
          </w:tcPr>
          <w:p w14:paraId="4714D4E3" w14:textId="77777777" w:rsidR="00F96C43" w:rsidRPr="00585989" w:rsidRDefault="00F96C43" w:rsidP="00F96C43">
            <w:pPr>
              <w:spacing w:line="240" w:lineRule="auto"/>
              <w:rPr>
                <w:rFonts w:cs="Arial"/>
                <w:b/>
                <w:sz w:val="22"/>
              </w:rPr>
            </w:pPr>
            <w:r w:rsidRPr="00585989">
              <w:rPr>
                <w:rFonts w:cs="Arial"/>
                <w:b/>
                <w:sz w:val="22"/>
              </w:rPr>
              <w:t>Grade of Liver Fibrosis (n = 8)</w:t>
            </w:r>
          </w:p>
        </w:tc>
        <w:tc>
          <w:tcPr>
            <w:tcW w:w="1150" w:type="dxa"/>
            <w:vAlign w:val="center"/>
          </w:tcPr>
          <w:p w14:paraId="0537E89A" w14:textId="77777777" w:rsidR="00F96C43" w:rsidRPr="00585989" w:rsidRDefault="00F96C43" w:rsidP="00F96C43">
            <w:pPr>
              <w:spacing w:line="240" w:lineRule="auto"/>
              <w:jc w:val="center"/>
              <w:rPr>
                <w:rFonts w:cs="Arial"/>
                <w:sz w:val="22"/>
              </w:rPr>
            </w:pPr>
          </w:p>
        </w:tc>
        <w:tc>
          <w:tcPr>
            <w:tcW w:w="1150" w:type="dxa"/>
            <w:tcBorders>
              <w:top w:val="single" w:sz="8" w:space="0" w:color="auto"/>
            </w:tcBorders>
            <w:vAlign w:val="center"/>
          </w:tcPr>
          <w:p w14:paraId="4CE31125" w14:textId="77777777" w:rsidR="00F96C43" w:rsidRPr="00585989" w:rsidRDefault="00F96C43" w:rsidP="00F96C43">
            <w:pPr>
              <w:spacing w:line="240" w:lineRule="auto"/>
              <w:jc w:val="center"/>
              <w:rPr>
                <w:rFonts w:cs="Arial"/>
                <w:i/>
                <w:sz w:val="22"/>
              </w:rPr>
            </w:pPr>
          </w:p>
        </w:tc>
        <w:tc>
          <w:tcPr>
            <w:tcW w:w="1152" w:type="dxa"/>
            <w:tcBorders>
              <w:top w:val="single" w:sz="8" w:space="0" w:color="auto"/>
            </w:tcBorders>
            <w:vAlign w:val="center"/>
          </w:tcPr>
          <w:p w14:paraId="3E1590EF" w14:textId="77777777" w:rsidR="00F96C43" w:rsidRPr="00585989" w:rsidRDefault="00F96C43" w:rsidP="00F96C43">
            <w:pPr>
              <w:spacing w:line="240" w:lineRule="auto"/>
              <w:jc w:val="center"/>
              <w:rPr>
                <w:rFonts w:cs="Arial"/>
                <w:i/>
                <w:sz w:val="22"/>
              </w:rPr>
            </w:pPr>
          </w:p>
        </w:tc>
      </w:tr>
      <w:tr w:rsidR="00F96C43" w:rsidRPr="00585989" w14:paraId="7ABB4E7E" w14:textId="77777777" w:rsidTr="001C2ED1">
        <w:trPr>
          <w:trHeight w:val="98"/>
        </w:trPr>
        <w:tc>
          <w:tcPr>
            <w:tcW w:w="2243" w:type="dxa"/>
            <w:vAlign w:val="center"/>
          </w:tcPr>
          <w:p w14:paraId="4C881D5F" w14:textId="77777777" w:rsidR="00F96C43" w:rsidRPr="00585989" w:rsidRDefault="00F96C43" w:rsidP="00F96C43">
            <w:pPr>
              <w:spacing w:line="240" w:lineRule="auto"/>
              <w:ind w:left="178"/>
              <w:rPr>
                <w:rFonts w:cs="Arial"/>
                <w:sz w:val="22"/>
              </w:rPr>
            </w:pPr>
            <w:r w:rsidRPr="00585989">
              <w:rPr>
                <w:rFonts w:cs="Arial"/>
                <w:sz w:val="22"/>
              </w:rPr>
              <w:t>I</w:t>
            </w:r>
          </w:p>
        </w:tc>
        <w:tc>
          <w:tcPr>
            <w:tcW w:w="1150" w:type="dxa"/>
            <w:vAlign w:val="center"/>
          </w:tcPr>
          <w:p w14:paraId="1CDBB35C" w14:textId="77777777" w:rsidR="00F96C43" w:rsidRPr="00585989" w:rsidRDefault="00F96C43" w:rsidP="00F96C43">
            <w:pPr>
              <w:spacing w:line="240" w:lineRule="auto"/>
              <w:jc w:val="center"/>
              <w:rPr>
                <w:rFonts w:cs="Arial"/>
                <w:sz w:val="22"/>
              </w:rPr>
            </w:pPr>
            <w:r w:rsidRPr="00585989">
              <w:rPr>
                <w:rFonts w:cs="Arial"/>
                <w:sz w:val="22"/>
              </w:rPr>
              <w:t>2</w:t>
            </w:r>
          </w:p>
        </w:tc>
        <w:tc>
          <w:tcPr>
            <w:tcW w:w="1150" w:type="dxa"/>
            <w:vAlign w:val="center"/>
          </w:tcPr>
          <w:p w14:paraId="337C8ED7" w14:textId="77777777" w:rsidR="00F96C43" w:rsidRPr="00585989" w:rsidRDefault="00F96C43" w:rsidP="00F96C43">
            <w:pPr>
              <w:spacing w:line="240" w:lineRule="auto"/>
              <w:jc w:val="center"/>
              <w:rPr>
                <w:rFonts w:cs="Arial"/>
                <w:sz w:val="22"/>
              </w:rPr>
            </w:pPr>
            <w:r w:rsidRPr="00585989">
              <w:rPr>
                <w:rFonts w:cs="Arial"/>
                <w:sz w:val="22"/>
              </w:rPr>
              <w:t>1,5</w:t>
            </w:r>
          </w:p>
        </w:tc>
        <w:tc>
          <w:tcPr>
            <w:tcW w:w="1152" w:type="dxa"/>
            <w:vAlign w:val="center"/>
          </w:tcPr>
          <w:p w14:paraId="4C808D58" w14:textId="77777777" w:rsidR="00F96C43" w:rsidRPr="00585989" w:rsidRDefault="00F96C43" w:rsidP="00F96C43">
            <w:pPr>
              <w:spacing w:line="240" w:lineRule="auto"/>
              <w:jc w:val="center"/>
              <w:rPr>
                <w:rFonts w:cs="Arial"/>
                <w:sz w:val="22"/>
              </w:rPr>
            </w:pPr>
            <w:r w:rsidRPr="00585989">
              <w:rPr>
                <w:rFonts w:cs="Arial"/>
                <w:sz w:val="22"/>
              </w:rPr>
              <w:t>0</w:t>
            </w:r>
          </w:p>
        </w:tc>
      </w:tr>
      <w:tr w:rsidR="00F96C43" w:rsidRPr="00585989" w14:paraId="0CAAA259" w14:textId="77777777" w:rsidTr="001C2ED1">
        <w:trPr>
          <w:trHeight w:val="98"/>
        </w:trPr>
        <w:tc>
          <w:tcPr>
            <w:tcW w:w="2243" w:type="dxa"/>
            <w:vAlign w:val="center"/>
          </w:tcPr>
          <w:p w14:paraId="7EBF3CB1" w14:textId="77777777" w:rsidR="00F96C43" w:rsidRPr="00585989" w:rsidRDefault="00F96C43" w:rsidP="00F96C43">
            <w:pPr>
              <w:spacing w:line="240" w:lineRule="auto"/>
              <w:ind w:left="178"/>
              <w:rPr>
                <w:rFonts w:cs="Arial"/>
                <w:sz w:val="22"/>
              </w:rPr>
            </w:pPr>
            <w:r w:rsidRPr="00585989">
              <w:rPr>
                <w:rFonts w:cs="Arial"/>
                <w:sz w:val="22"/>
              </w:rPr>
              <w:t>II</w:t>
            </w:r>
          </w:p>
        </w:tc>
        <w:tc>
          <w:tcPr>
            <w:tcW w:w="1150" w:type="dxa"/>
            <w:vAlign w:val="center"/>
          </w:tcPr>
          <w:p w14:paraId="09885B80" w14:textId="77777777" w:rsidR="00F96C43" w:rsidRPr="00585989" w:rsidRDefault="00F96C43" w:rsidP="00F96C43">
            <w:pPr>
              <w:spacing w:line="240" w:lineRule="auto"/>
              <w:jc w:val="center"/>
              <w:rPr>
                <w:rFonts w:cs="Arial"/>
                <w:sz w:val="22"/>
              </w:rPr>
            </w:pPr>
            <w:r w:rsidRPr="00585989">
              <w:rPr>
                <w:rFonts w:cs="Arial"/>
                <w:sz w:val="22"/>
              </w:rPr>
              <w:t>2</w:t>
            </w:r>
          </w:p>
        </w:tc>
        <w:tc>
          <w:tcPr>
            <w:tcW w:w="1150" w:type="dxa"/>
            <w:vAlign w:val="center"/>
          </w:tcPr>
          <w:p w14:paraId="4F2AE117" w14:textId="77777777" w:rsidR="00F96C43" w:rsidRPr="00585989" w:rsidRDefault="00F96C43" w:rsidP="00F96C43">
            <w:pPr>
              <w:spacing w:line="240" w:lineRule="auto"/>
              <w:jc w:val="center"/>
              <w:rPr>
                <w:rFonts w:cs="Arial"/>
                <w:sz w:val="22"/>
              </w:rPr>
            </w:pPr>
            <w:r w:rsidRPr="00585989">
              <w:rPr>
                <w:rFonts w:cs="Arial"/>
                <w:sz w:val="22"/>
              </w:rPr>
              <w:t>1,5</w:t>
            </w:r>
          </w:p>
        </w:tc>
        <w:tc>
          <w:tcPr>
            <w:tcW w:w="1152" w:type="dxa"/>
            <w:vAlign w:val="center"/>
          </w:tcPr>
          <w:p w14:paraId="3B0A13E9" w14:textId="77777777" w:rsidR="00F96C43" w:rsidRPr="00585989" w:rsidRDefault="00F96C43" w:rsidP="00F96C43">
            <w:pPr>
              <w:spacing w:line="240" w:lineRule="auto"/>
              <w:jc w:val="center"/>
              <w:rPr>
                <w:rFonts w:cs="Arial"/>
                <w:sz w:val="22"/>
              </w:rPr>
            </w:pPr>
            <w:r w:rsidRPr="00585989">
              <w:rPr>
                <w:rFonts w:cs="Arial"/>
                <w:sz w:val="22"/>
              </w:rPr>
              <w:t>0,5</w:t>
            </w:r>
          </w:p>
        </w:tc>
      </w:tr>
      <w:tr w:rsidR="00F96C43" w:rsidRPr="00585989" w14:paraId="76D7E437" w14:textId="77777777" w:rsidTr="001C2ED1">
        <w:trPr>
          <w:trHeight w:val="98"/>
        </w:trPr>
        <w:tc>
          <w:tcPr>
            <w:tcW w:w="2243" w:type="dxa"/>
            <w:vAlign w:val="center"/>
          </w:tcPr>
          <w:p w14:paraId="0922D580" w14:textId="77777777" w:rsidR="00F96C43" w:rsidRPr="00585989" w:rsidRDefault="00F96C43" w:rsidP="00F96C43">
            <w:pPr>
              <w:spacing w:line="240" w:lineRule="auto"/>
              <w:ind w:left="178"/>
              <w:rPr>
                <w:rFonts w:cs="Arial"/>
                <w:sz w:val="22"/>
              </w:rPr>
            </w:pPr>
            <w:r w:rsidRPr="00585989">
              <w:rPr>
                <w:rFonts w:cs="Arial"/>
                <w:sz w:val="22"/>
              </w:rPr>
              <w:t>III</w:t>
            </w:r>
          </w:p>
        </w:tc>
        <w:tc>
          <w:tcPr>
            <w:tcW w:w="1150" w:type="dxa"/>
            <w:vAlign w:val="center"/>
          </w:tcPr>
          <w:p w14:paraId="18654693" w14:textId="77777777" w:rsidR="00F96C43" w:rsidRPr="00585989" w:rsidRDefault="00F96C43" w:rsidP="00F96C43">
            <w:pPr>
              <w:spacing w:line="240" w:lineRule="auto"/>
              <w:jc w:val="center"/>
              <w:rPr>
                <w:rFonts w:cs="Arial"/>
                <w:sz w:val="22"/>
              </w:rPr>
            </w:pPr>
            <w:r w:rsidRPr="00585989">
              <w:rPr>
                <w:rFonts w:cs="Arial"/>
                <w:sz w:val="22"/>
              </w:rPr>
              <w:t>2</w:t>
            </w:r>
          </w:p>
        </w:tc>
        <w:tc>
          <w:tcPr>
            <w:tcW w:w="1150" w:type="dxa"/>
            <w:vAlign w:val="center"/>
          </w:tcPr>
          <w:p w14:paraId="00513C4A" w14:textId="77777777" w:rsidR="00F96C43" w:rsidRPr="00585989" w:rsidRDefault="00F96C43" w:rsidP="00F96C43">
            <w:pPr>
              <w:spacing w:line="240" w:lineRule="auto"/>
              <w:jc w:val="center"/>
              <w:rPr>
                <w:rFonts w:cs="Arial"/>
                <w:sz w:val="22"/>
              </w:rPr>
            </w:pPr>
            <w:r w:rsidRPr="00585989">
              <w:rPr>
                <w:rFonts w:cs="Arial"/>
                <w:sz w:val="22"/>
              </w:rPr>
              <w:t>2</w:t>
            </w:r>
          </w:p>
        </w:tc>
        <w:tc>
          <w:tcPr>
            <w:tcW w:w="1152" w:type="dxa"/>
            <w:vAlign w:val="center"/>
          </w:tcPr>
          <w:p w14:paraId="47828FEA" w14:textId="77777777" w:rsidR="00F96C43" w:rsidRPr="00585989" w:rsidRDefault="00F96C43" w:rsidP="00F96C43">
            <w:pPr>
              <w:spacing w:line="240" w:lineRule="auto"/>
              <w:jc w:val="center"/>
              <w:rPr>
                <w:rFonts w:cs="Arial"/>
                <w:sz w:val="22"/>
              </w:rPr>
            </w:pPr>
            <w:r w:rsidRPr="00585989">
              <w:rPr>
                <w:rFonts w:cs="Arial"/>
                <w:sz w:val="22"/>
              </w:rPr>
              <w:t>1</w:t>
            </w:r>
          </w:p>
        </w:tc>
      </w:tr>
      <w:tr w:rsidR="00F96C43" w:rsidRPr="00585989" w14:paraId="527FC0FF" w14:textId="77777777" w:rsidTr="001C2ED1">
        <w:trPr>
          <w:trHeight w:val="98"/>
        </w:trPr>
        <w:tc>
          <w:tcPr>
            <w:tcW w:w="2243" w:type="dxa"/>
            <w:vAlign w:val="center"/>
          </w:tcPr>
          <w:p w14:paraId="535B02E6" w14:textId="77777777" w:rsidR="00F96C43" w:rsidRPr="00585989" w:rsidRDefault="00F96C43" w:rsidP="00F96C43">
            <w:pPr>
              <w:spacing w:line="240" w:lineRule="auto"/>
              <w:ind w:left="178"/>
              <w:rPr>
                <w:rFonts w:cs="Arial"/>
                <w:sz w:val="22"/>
              </w:rPr>
            </w:pPr>
            <w:r w:rsidRPr="00585989">
              <w:rPr>
                <w:rFonts w:cs="Arial"/>
                <w:sz w:val="22"/>
              </w:rPr>
              <w:t>IV</w:t>
            </w:r>
          </w:p>
        </w:tc>
        <w:tc>
          <w:tcPr>
            <w:tcW w:w="1150" w:type="dxa"/>
            <w:vAlign w:val="center"/>
          </w:tcPr>
          <w:p w14:paraId="658B0134" w14:textId="77777777" w:rsidR="00F96C43" w:rsidRPr="00585989" w:rsidRDefault="00F96C43" w:rsidP="00F96C43">
            <w:pPr>
              <w:spacing w:line="240" w:lineRule="auto"/>
              <w:jc w:val="center"/>
              <w:rPr>
                <w:rFonts w:cs="Arial"/>
                <w:sz w:val="22"/>
              </w:rPr>
            </w:pPr>
            <w:r w:rsidRPr="00585989">
              <w:rPr>
                <w:rFonts w:cs="Arial"/>
                <w:sz w:val="22"/>
              </w:rPr>
              <w:t>2</w:t>
            </w:r>
          </w:p>
        </w:tc>
        <w:tc>
          <w:tcPr>
            <w:tcW w:w="1150" w:type="dxa"/>
            <w:vAlign w:val="center"/>
          </w:tcPr>
          <w:p w14:paraId="20BA04F4" w14:textId="77777777" w:rsidR="00F96C43" w:rsidRPr="00585989" w:rsidRDefault="00F96C43" w:rsidP="00F96C43">
            <w:pPr>
              <w:spacing w:line="240" w:lineRule="auto"/>
              <w:jc w:val="center"/>
              <w:rPr>
                <w:rFonts w:cs="Arial"/>
                <w:sz w:val="22"/>
              </w:rPr>
            </w:pPr>
            <w:r w:rsidRPr="00585989">
              <w:rPr>
                <w:rFonts w:cs="Arial"/>
                <w:sz w:val="22"/>
              </w:rPr>
              <w:t>2,5</w:t>
            </w:r>
          </w:p>
        </w:tc>
        <w:tc>
          <w:tcPr>
            <w:tcW w:w="1152" w:type="dxa"/>
            <w:vAlign w:val="center"/>
          </w:tcPr>
          <w:p w14:paraId="1B5CCF0C" w14:textId="77777777" w:rsidR="00F96C43" w:rsidRPr="00585989" w:rsidRDefault="00F96C43" w:rsidP="00F96C43">
            <w:pPr>
              <w:spacing w:line="240" w:lineRule="auto"/>
              <w:jc w:val="center"/>
              <w:rPr>
                <w:rFonts w:cs="Arial"/>
                <w:sz w:val="22"/>
              </w:rPr>
            </w:pPr>
            <w:r w:rsidRPr="00585989">
              <w:rPr>
                <w:rFonts w:cs="Arial"/>
                <w:sz w:val="22"/>
              </w:rPr>
              <w:t>1</w:t>
            </w:r>
          </w:p>
        </w:tc>
      </w:tr>
      <w:tr w:rsidR="00F96C43" w:rsidRPr="00585989" w14:paraId="5BDD1270" w14:textId="77777777" w:rsidTr="001C2ED1">
        <w:trPr>
          <w:trHeight w:val="98"/>
        </w:trPr>
        <w:tc>
          <w:tcPr>
            <w:tcW w:w="2243" w:type="dxa"/>
            <w:vAlign w:val="center"/>
          </w:tcPr>
          <w:p w14:paraId="0A1BD4FA" w14:textId="77777777" w:rsidR="00F96C43" w:rsidRPr="00585989" w:rsidRDefault="00F96C43" w:rsidP="00F96C43">
            <w:pPr>
              <w:spacing w:line="240" w:lineRule="auto"/>
              <w:ind w:left="178"/>
              <w:rPr>
                <w:rFonts w:cs="Arial"/>
                <w:sz w:val="22"/>
              </w:rPr>
            </w:pPr>
          </w:p>
        </w:tc>
        <w:tc>
          <w:tcPr>
            <w:tcW w:w="1150" w:type="dxa"/>
            <w:vAlign w:val="center"/>
          </w:tcPr>
          <w:p w14:paraId="68C6223B" w14:textId="77777777" w:rsidR="00F96C43" w:rsidRPr="00585989" w:rsidRDefault="00F96C43" w:rsidP="00F96C43">
            <w:pPr>
              <w:spacing w:line="240" w:lineRule="auto"/>
              <w:jc w:val="center"/>
              <w:rPr>
                <w:rFonts w:cs="Arial"/>
                <w:sz w:val="22"/>
              </w:rPr>
            </w:pPr>
          </w:p>
        </w:tc>
        <w:tc>
          <w:tcPr>
            <w:tcW w:w="1150" w:type="dxa"/>
            <w:vAlign w:val="center"/>
          </w:tcPr>
          <w:p w14:paraId="141C201B" w14:textId="77777777" w:rsidR="00F96C43" w:rsidRPr="00585989" w:rsidRDefault="00F96C43" w:rsidP="00F96C43">
            <w:pPr>
              <w:spacing w:line="240" w:lineRule="auto"/>
              <w:jc w:val="center"/>
              <w:rPr>
                <w:rFonts w:cs="Arial"/>
                <w:sz w:val="22"/>
              </w:rPr>
            </w:pPr>
          </w:p>
        </w:tc>
        <w:tc>
          <w:tcPr>
            <w:tcW w:w="1152" w:type="dxa"/>
            <w:vAlign w:val="center"/>
          </w:tcPr>
          <w:p w14:paraId="16086A27" w14:textId="77777777" w:rsidR="00F96C43" w:rsidRPr="00585989" w:rsidRDefault="00F96C43" w:rsidP="00F96C43">
            <w:pPr>
              <w:spacing w:line="240" w:lineRule="auto"/>
              <w:jc w:val="center"/>
              <w:rPr>
                <w:rFonts w:cs="Arial"/>
                <w:sz w:val="22"/>
              </w:rPr>
            </w:pPr>
          </w:p>
        </w:tc>
      </w:tr>
      <w:tr w:rsidR="00F96C43" w:rsidRPr="00585989" w14:paraId="03BD7CC6" w14:textId="77777777" w:rsidTr="001C2ED1">
        <w:trPr>
          <w:trHeight w:val="98"/>
        </w:trPr>
        <w:tc>
          <w:tcPr>
            <w:tcW w:w="2243" w:type="dxa"/>
            <w:vAlign w:val="center"/>
          </w:tcPr>
          <w:p w14:paraId="4B193C56" w14:textId="77777777" w:rsidR="00F96C43" w:rsidRPr="00585989" w:rsidRDefault="00F96C43" w:rsidP="00F96C43">
            <w:pPr>
              <w:spacing w:line="240" w:lineRule="auto"/>
              <w:ind w:left="178"/>
              <w:rPr>
                <w:rFonts w:cs="Arial"/>
                <w:sz w:val="22"/>
              </w:rPr>
            </w:pPr>
          </w:p>
        </w:tc>
        <w:tc>
          <w:tcPr>
            <w:tcW w:w="1150" w:type="dxa"/>
            <w:vAlign w:val="center"/>
          </w:tcPr>
          <w:p w14:paraId="222C8D6E" w14:textId="77777777" w:rsidR="00F96C43" w:rsidRPr="00585989" w:rsidRDefault="00F96C43" w:rsidP="00F96C43">
            <w:pPr>
              <w:spacing w:line="240" w:lineRule="auto"/>
              <w:jc w:val="center"/>
              <w:rPr>
                <w:rFonts w:cs="Arial"/>
                <w:sz w:val="22"/>
              </w:rPr>
            </w:pPr>
          </w:p>
        </w:tc>
        <w:tc>
          <w:tcPr>
            <w:tcW w:w="1150" w:type="dxa"/>
            <w:tcBorders>
              <w:bottom w:val="single" w:sz="8" w:space="0" w:color="auto"/>
            </w:tcBorders>
            <w:vAlign w:val="center"/>
          </w:tcPr>
          <w:p w14:paraId="223A74CD" w14:textId="77777777" w:rsidR="00F96C43" w:rsidRPr="00585989" w:rsidRDefault="00F96C43" w:rsidP="00F96C43">
            <w:pPr>
              <w:spacing w:line="240" w:lineRule="auto"/>
              <w:jc w:val="center"/>
              <w:rPr>
                <w:rFonts w:cs="Arial"/>
                <w:sz w:val="22"/>
              </w:rPr>
            </w:pPr>
            <w:r w:rsidRPr="00585989">
              <w:rPr>
                <w:rFonts w:cs="Arial"/>
                <w:i/>
                <w:sz w:val="22"/>
              </w:rPr>
              <w:t>Min</w:t>
            </w:r>
          </w:p>
        </w:tc>
        <w:tc>
          <w:tcPr>
            <w:tcW w:w="1152" w:type="dxa"/>
            <w:tcBorders>
              <w:bottom w:val="single" w:sz="8" w:space="0" w:color="auto"/>
            </w:tcBorders>
            <w:vAlign w:val="center"/>
          </w:tcPr>
          <w:p w14:paraId="379FAD05" w14:textId="77777777" w:rsidR="00F96C43" w:rsidRPr="00585989" w:rsidRDefault="00F96C43" w:rsidP="00F96C43">
            <w:pPr>
              <w:spacing w:line="240" w:lineRule="auto"/>
              <w:jc w:val="center"/>
              <w:rPr>
                <w:rFonts w:cs="Arial"/>
                <w:sz w:val="22"/>
              </w:rPr>
            </w:pPr>
            <w:r w:rsidRPr="00585989">
              <w:rPr>
                <w:rFonts w:cs="Arial"/>
                <w:i/>
                <w:sz w:val="22"/>
              </w:rPr>
              <w:t>Max</w:t>
            </w:r>
          </w:p>
        </w:tc>
      </w:tr>
      <w:tr w:rsidR="00F96C43" w:rsidRPr="00585989" w14:paraId="380FC2E8" w14:textId="77777777" w:rsidTr="001C2ED1">
        <w:trPr>
          <w:trHeight w:val="98"/>
        </w:trPr>
        <w:tc>
          <w:tcPr>
            <w:tcW w:w="2243" w:type="dxa"/>
            <w:vAlign w:val="center"/>
          </w:tcPr>
          <w:p w14:paraId="1768773F" w14:textId="77777777" w:rsidR="00F96C43" w:rsidRPr="00585989" w:rsidRDefault="00F96C43" w:rsidP="00F96C43">
            <w:pPr>
              <w:spacing w:line="240" w:lineRule="auto"/>
              <w:rPr>
                <w:rFonts w:cs="Arial"/>
                <w:b/>
                <w:sz w:val="22"/>
              </w:rPr>
            </w:pPr>
            <w:r w:rsidRPr="00585989">
              <w:rPr>
                <w:rFonts w:cs="Arial"/>
                <w:b/>
                <w:sz w:val="22"/>
              </w:rPr>
              <w:t>Disease activity (n=10)</w:t>
            </w:r>
          </w:p>
        </w:tc>
        <w:tc>
          <w:tcPr>
            <w:tcW w:w="1150" w:type="dxa"/>
            <w:vAlign w:val="center"/>
          </w:tcPr>
          <w:p w14:paraId="1DB37206" w14:textId="77777777" w:rsidR="00F96C43" w:rsidRPr="00585989" w:rsidRDefault="00F96C43" w:rsidP="00F96C43">
            <w:pPr>
              <w:spacing w:line="240" w:lineRule="auto"/>
              <w:jc w:val="center"/>
              <w:rPr>
                <w:rFonts w:cs="Arial"/>
                <w:sz w:val="22"/>
              </w:rPr>
            </w:pPr>
          </w:p>
        </w:tc>
        <w:tc>
          <w:tcPr>
            <w:tcW w:w="1150" w:type="dxa"/>
            <w:tcBorders>
              <w:top w:val="single" w:sz="8" w:space="0" w:color="auto"/>
            </w:tcBorders>
            <w:vAlign w:val="center"/>
          </w:tcPr>
          <w:p w14:paraId="082A0442" w14:textId="77777777" w:rsidR="00F96C43" w:rsidRPr="00585989" w:rsidRDefault="00F96C43" w:rsidP="00F96C43">
            <w:pPr>
              <w:spacing w:line="240" w:lineRule="auto"/>
              <w:jc w:val="center"/>
              <w:rPr>
                <w:rFonts w:cs="Arial"/>
                <w:i/>
                <w:sz w:val="22"/>
              </w:rPr>
            </w:pPr>
          </w:p>
        </w:tc>
        <w:tc>
          <w:tcPr>
            <w:tcW w:w="1152" w:type="dxa"/>
            <w:tcBorders>
              <w:top w:val="single" w:sz="8" w:space="0" w:color="auto"/>
            </w:tcBorders>
            <w:vAlign w:val="center"/>
          </w:tcPr>
          <w:p w14:paraId="4EF214AB" w14:textId="77777777" w:rsidR="00F96C43" w:rsidRPr="00585989" w:rsidRDefault="00F96C43" w:rsidP="00F96C43">
            <w:pPr>
              <w:spacing w:line="240" w:lineRule="auto"/>
              <w:jc w:val="center"/>
              <w:rPr>
                <w:rFonts w:cs="Arial"/>
                <w:i/>
                <w:sz w:val="22"/>
              </w:rPr>
            </w:pPr>
          </w:p>
        </w:tc>
      </w:tr>
      <w:tr w:rsidR="00F96C43" w:rsidRPr="00585989" w14:paraId="11067951" w14:textId="77777777" w:rsidTr="001C2ED1">
        <w:trPr>
          <w:trHeight w:val="96"/>
        </w:trPr>
        <w:tc>
          <w:tcPr>
            <w:tcW w:w="2243" w:type="dxa"/>
            <w:vAlign w:val="center"/>
          </w:tcPr>
          <w:p w14:paraId="4FB50F81" w14:textId="77777777" w:rsidR="00F96C43" w:rsidRPr="00585989" w:rsidRDefault="00F96C43" w:rsidP="00F96C43">
            <w:pPr>
              <w:spacing w:line="240" w:lineRule="auto"/>
              <w:ind w:left="175"/>
              <w:rPr>
                <w:rFonts w:cs="Arial"/>
                <w:sz w:val="22"/>
              </w:rPr>
            </w:pPr>
            <w:r w:rsidRPr="00585989">
              <w:rPr>
                <w:rFonts w:cs="Arial"/>
                <w:sz w:val="22"/>
              </w:rPr>
              <w:t>MELD Score</w:t>
            </w:r>
          </w:p>
        </w:tc>
        <w:tc>
          <w:tcPr>
            <w:tcW w:w="1150" w:type="dxa"/>
            <w:vAlign w:val="center"/>
          </w:tcPr>
          <w:p w14:paraId="70209DCE" w14:textId="77777777" w:rsidR="00F96C43" w:rsidRPr="00585989" w:rsidRDefault="00F96C43" w:rsidP="00F96C43">
            <w:pPr>
              <w:spacing w:line="240" w:lineRule="auto"/>
              <w:jc w:val="center"/>
              <w:rPr>
                <w:rFonts w:cs="Arial"/>
                <w:sz w:val="22"/>
              </w:rPr>
            </w:pPr>
            <w:r w:rsidRPr="00585989">
              <w:rPr>
                <w:rFonts w:cs="Arial"/>
                <w:sz w:val="22"/>
              </w:rPr>
              <w:t>13,5</w:t>
            </w:r>
          </w:p>
        </w:tc>
        <w:tc>
          <w:tcPr>
            <w:tcW w:w="1150" w:type="dxa"/>
            <w:vAlign w:val="center"/>
          </w:tcPr>
          <w:p w14:paraId="2E52CECA" w14:textId="77777777" w:rsidR="00F96C43" w:rsidRPr="00585989" w:rsidRDefault="00F96C43" w:rsidP="00F96C43">
            <w:pPr>
              <w:spacing w:line="240" w:lineRule="auto"/>
              <w:jc w:val="center"/>
              <w:rPr>
                <w:rFonts w:cs="Arial"/>
                <w:sz w:val="22"/>
              </w:rPr>
            </w:pPr>
            <w:r w:rsidRPr="00585989">
              <w:rPr>
                <w:rFonts w:cs="Arial"/>
                <w:sz w:val="22"/>
              </w:rPr>
              <w:t>6</w:t>
            </w:r>
          </w:p>
        </w:tc>
        <w:tc>
          <w:tcPr>
            <w:tcW w:w="1152" w:type="dxa"/>
            <w:vAlign w:val="center"/>
          </w:tcPr>
          <w:p w14:paraId="39D3E50A" w14:textId="77777777" w:rsidR="00F96C43" w:rsidRPr="00585989" w:rsidRDefault="00F96C43" w:rsidP="00F96C43">
            <w:pPr>
              <w:spacing w:line="240" w:lineRule="auto"/>
              <w:jc w:val="center"/>
              <w:rPr>
                <w:rFonts w:cs="Arial"/>
                <w:sz w:val="22"/>
              </w:rPr>
            </w:pPr>
            <w:r w:rsidRPr="00585989">
              <w:rPr>
                <w:rFonts w:cs="Arial"/>
                <w:sz w:val="22"/>
              </w:rPr>
              <w:t>23</w:t>
            </w:r>
          </w:p>
        </w:tc>
      </w:tr>
      <w:tr w:rsidR="00F96C43" w:rsidRPr="00585989" w14:paraId="01DF2974" w14:textId="77777777" w:rsidTr="001C2ED1">
        <w:trPr>
          <w:trHeight w:val="92"/>
        </w:trPr>
        <w:tc>
          <w:tcPr>
            <w:tcW w:w="2243" w:type="dxa"/>
            <w:vAlign w:val="center"/>
          </w:tcPr>
          <w:p w14:paraId="4068D33F" w14:textId="77777777" w:rsidR="00F96C43" w:rsidRPr="00585989" w:rsidRDefault="00F96C43" w:rsidP="00F96C43">
            <w:pPr>
              <w:spacing w:line="240" w:lineRule="auto"/>
              <w:ind w:left="175"/>
              <w:rPr>
                <w:rFonts w:cs="Arial"/>
                <w:sz w:val="22"/>
              </w:rPr>
            </w:pPr>
            <w:r w:rsidRPr="00585989">
              <w:rPr>
                <w:rFonts w:cs="Arial"/>
                <w:sz w:val="22"/>
              </w:rPr>
              <w:t xml:space="preserve">Bilirubin </w:t>
            </w:r>
            <w:r w:rsidRPr="00585989">
              <w:rPr>
                <w:rFonts w:cs="Arial"/>
                <w:sz w:val="22"/>
              </w:rPr>
              <w:sym w:font="Symbol" w:char="F05B"/>
            </w:r>
            <w:r w:rsidRPr="00585989">
              <w:rPr>
                <w:rFonts w:cs="Arial"/>
                <w:sz w:val="22"/>
              </w:rPr>
              <w:t>mg/dl</w:t>
            </w:r>
            <w:r w:rsidRPr="00585989">
              <w:rPr>
                <w:rFonts w:cs="Arial"/>
                <w:sz w:val="22"/>
              </w:rPr>
              <w:sym w:font="Symbol" w:char="F05D"/>
            </w:r>
          </w:p>
        </w:tc>
        <w:tc>
          <w:tcPr>
            <w:tcW w:w="1150" w:type="dxa"/>
            <w:vAlign w:val="center"/>
          </w:tcPr>
          <w:p w14:paraId="107CE1EB" w14:textId="77777777" w:rsidR="00F96C43" w:rsidRPr="00585989" w:rsidRDefault="00F96C43" w:rsidP="00F96C43">
            <w:pPr>
              <w:spacing w:line="240" w:lineRule="auto"/>
              <w:jc w:val="center"/>
              <w:rPr>
                <w:rFonts w:cs="Arial"/>
                <w:sz w:val="22"/>
              </w:rPr>
            </w:pPr>
            <w:r w:rsidRPr="00585989">
              <w:rPr>
                <w:rFonts w:cs="Arial"/>
                <w:sz w:val="22"/>
              </w:rPr>
              <w:t>7,22</w:t>
            </w:r>
          </w:p>
        </w:tc>
        <w:tc>
          <w:tcPr>
            <w:tcW w:w="1150" w:type="dxa"/>
            <w:vAlign w:val="center"/>
          </w:tcPr>
          <w:p w14:paraId="21F3B988" w14:textId="77777777" w:rsidR="00F96C43" w:rsidRPr="00585989" w:rsidRDefault="00F96C43" w:rsidP="00F96C43">
            <w:pPr>
              <w:spacing w:line="240" w:lineRule="auto"/>
              <w:jc w:val="center"/>
              <w:rPr>
                <w:rFonts w:cs="Arial"/>
                <w:sz w:val="22"/>
              </w:rPr>
            </w:pPr>
            <w:r w:rsidRPr="00585989">
              <w:rPr>
                <w:rFonts w:cs="Arial"/>
                <w:sz w:val="22"/>
              </w:rPr>
              <w:t>0,25</w:t>
            </w:r>
          </w:p>
        </w:tc>
        <w:tc>
          <w:tcPr>
            <w:tcW w:w="1152" w:type="dxa"/>
            <w:vAlign w:val="center"/>
          </w:tcPr>
          <w:p w14:paraId="1E2162FC" w14:textId="77777777" w:rsidR="00F96C43" w:rsidRPr="00585989" w:rsidRDefault="00F96C43" w:rsidP="00F96C43">
            <w:pPr>
              <w:spacing w:line="240" w:lineRule="auto"/>
              <w:jc w:val="center"/>
              <w:rPr>
                <w:rFonts w:cs="Arial"/>
                <w:sz w:val="22"/>
              </w:rPr>
            </w:pPr>
            <w:r w:rsidRPr="00585989">
              <w:rPr>
                <w:rFonts w:cs="Arial"/>
                <w:sz w:val="22"/>
              </w:rPr>
              <w:t>21,8</w:t>
            </w:r>
          </w:p>
        </w:tc>
      </w:tr>
      <w:tr w:rsidR="00F96C43" w:rsidRPr="00585989" w14:paraId="721D4F7D" w14:textId="77777777" w:rsidTr="001C2ED1">
        <w:trPr>
          <w:trHeight w:val="96"/>
        </w:trPr>
        <w:tc>
          <w:tcPr>
            <w:tcW w:w="2243" w:type="dxa"/>
            <w:vAlign w:val="center"/>
          </w:tcPr>
          <w:p w14:paraId="6945FAB0" w14:textId="77777777" w:rsidR="00F96C43" w:rsidRPr="00585989" w:rsidRDefault="00F96C43" w:rsidP="00F96C43">
            <w:pPr>
              <w:spacing w:line="240" w:lineRule="auto"/>
              <w:ind w:left="175"/>
              <w:rPr>
                <w:rFonts w:cs="Arial"/>
                <w:sz w:val="22"/>
              </w:rPr>
            </w:pPr>
            <w:r w:rsidRPr="00585989">
              <w:rPr>
                <w:rFonts w:cs="Arial"/>
                <w:sz w:val="22"/>
              </w:rPr>
              <w:sym w:font="Symbol" w:char="F067"/>
            </w:r>
            <w:r w:rsidRPr="00585989">
              <w:rPr>
                <w:rFonts w:cs="Arial"/>
                <w:sz w:val="22"/>
              </w:rPr>
              <w:t xml:space="preserve">-GT </w:t>
            </w:r>
            <w:r w:rsidRPr="00585989">
              <w:rPr>
                <w:rFonts w:cs="Arial"/>
                <w:sz w:val="22"/>
              </w:rPr>
              <w:sym w:font="Symbol" w:char="F05B"/>
            </w:r>
            <w:r w:rsidRPr="00585989">
              <w:rPr>
                <w:rFonts w:cs="Arial"/>
                <w:sz w:val="22"/>
              </w:rPr>
              <w:t>U/l</w:t>
            </w:r>
            <w:r w:rsidRPr="00585989">
              <w:rPr>
                <w:rFonts w:cs="Arial"/>
                <w:sz w:val="22"/>
              </w:rPr>
              <w:sym w:font="Symbol" w:char="F05D"/>
            </w:r>
          </w:p>
        </w:tc>
        <w:tc>
          <w:tcPr>
            <w:tcW w:w="1150" w:type="dxa"/>
            <w:vAlign w:val="center"/>
          </w:tcPr>
          <w:p w14:paraId="3CAF30F2" w14:textId="77777777" w:rsidR="00F96C43" w:rsidRPr="00585989" w:rsidRDefault="00F96C43" w:rsidP="00F96C43">
            <w:pPr>
              <w:spacing w:line="240" w:lineRule="auto"/>
              <w:jc w:val="center"/>
              <w:rPr>
                <w:rFonts w:cs="Arial"/>
                <w:sz w:val="22"/>
              </w:rPr>
            </w:pPr>
            <w:r w:rsidRPr="00585989">
              <w:rPr>
                <w:rFonts w:cs="Arial"/>
                <w:sz w:val="22"/>
              </w:rPr>
              <w:t>208</w:t>
            </w:r>
          </w:p>
        </w:tc>
        <w:tc>
          <w:tcPr>
            <w:tcW w:w="1150" w:type="dxa"/>
            <w:vAlign w:val="center"/>
          </w:tcPr>
          <w:p w14:paraId="27F579D3" w14:textId="77777777" w:rsidR="00F96C43" w:rsidRPr="00585989" w:rsidRDefault="00F96C43" w:rsidP="00F96C43">
            <w:pPr>
              <w:spacing w:line="240" w:lineRule="auto"/>
              <w:jc w:val="center"/>
              <w:rPr>
                <w:rFonts w:cs="Arial"/>
                <w:sz w:val="22"/>
              </w:rPr>
            </w:pPr>
            <w:r w:rsidRPr="00585989">
              <w:rPr>
                <w:rFonts w:cs="Arial"/>
                <w:sz w:val="22"/>
              </w:rPr>
              <w:t>25</w:t>
            </w:r>
          </w:p>
        </w:tc>
        <w:tc>
          <w:tcPr>
            <w:tcW w:w="1152" w:type="dxa"/>
            <w:vAlign w:val="center"/>
          </w:tcPr>
          <w:p w14:paraId="0F4F5930" w14:textId="77777777" w:rsidR="00F96C43" w:rsidRPr="00585989" w:rsidRDefault="00F96C43" w:rsidP="00F96C43">
            <w:pPr>
              <w:spacing w:line="240" w:lineRule="auto"/>
              <w:jc w:val="center"/>
              <w:rPr>
                <w:rFonts w:cs="Arial"/>
                <w:sz w:val="22"/>
              </w:rPr>
            </w:pPr>
            <w:r w:rsidRPr="00585989">
              <w:rPr>
                <w:rFonts w:cs="Arial"/>
                <w:sz w:val="22"/>
              </w:rPr>
              <w:t>657</w:t>
            </w:r>
          </w:p>
        </w:tc>
      </w:tr>
      <w:tr w:rsidR="00F96C43" w:rsidRPr="00585989" w14:paraId="39A25019" w14:textId="77777777" w:rsidTr="001C2ED1">
        <w:trPr>
          <w:trHeight w:val="96"/>
        </w:trPr>
        <w:tc>
          <w:tcPr>
            <w:tcW w:w="2243" w:type="dxa"/>
            <w:vAlign w:val="center"/>
          </w:tcPr>
          <w:p w14:paraId="697F726E" w14:textId="77777777" w:rsidR="00F96C43" w:rsidRPr="00585989" w:rsidRDefault="00F96C43" w:rsidP="00F96C43">
            <w:pPr>
              <w:spacing w:line="240" w:lineRule="auto"/>
              <w:ind w:left="175"/>
              <w:rPr>
                <w:rFonts w:cs="Arial"/>
                <w:sz w:val="22"/>
              </w:rPr>
            </w:pPr>
            <w:r w:rsidRPr="00585989">
              <w:rPr>
                <w:rFonts w:cs="Arial"/>
                <w:sz w:val="22"/>
              </w:rPr>
              <w:t xml:space="preserve">GOT </w:t>
            </w:r>
            <w:r w:rsidRPr="00585989">
              <w:rPr>
                <w:rFonts w:cs="Arial"/>
                <w:sz w:val="22"/>
              </w:rPr>
              <w:sym w:font="Symbol" w:char="F05B"/>
            </w:r>
            <w:r w:rsidRPr="00585989">
              <w:rPr>
                <w:rFonts w:cs="Arial"/>
                <w:sz w:val="22"/>
              </w:rPr>
              <w:t>U/l</w:t>
            </w:r>
            <w:r w:rsidRPr="00585989">
              <w:rPr>
                <w:rFonts w:cs="Arial"/>
                <w:sz w:val="22"/>
              </w:rPr>
              <w:sym w:font="Symbol" w:char="F05D"/>
            </w:r>
          </w:p>
        </w:tc>
        <w:tc>
          <w:tcPr>
            <w:tcW w:w="1150" w:type="dxa"/>
            <w:vAlign w:val="center"/>
          </w:tcPr>
          <w:p w14:paraId="5955E843" w14:textId="77777777" w:rsidR="00F96C43" w:rsidRPr="00585989" w:rsidRDefault="00F96C43" w:rsidP="00F96C43">
            <w:pPr>
              <w:spacing w:line="240" w:lineRule="auto"/>
              <w:jc w:val="center"/>
              <w:rPr>
                <w:rFonts w:cs="Arial"/>
                <w:sz w:val="22"/>
              </w:rPr>
            </w:pPr>
            <w:r w:rsidRPr="00585989">
              <w:rPr>
                <w:rFonts w:cs="Arial"/>
                <w:sz w:val="22"/>
              </w:rPr>
              <w:t>69</w:t>
            </w:r>
          </w:p>
        </w:tc>
        <w:tc>
          <w:tcPr>
            <w:tcW w:w="1150" w:type="dxa"/>
            <w:vAlign w:val="center"/>
          </w:tcPr>
          <w:p w14:paraId="4FBC274F" w14:textId="77777777" w:rsidR="00F96C43" w:rsidRPr="00585989" w:rsidRDefault="00F96C43" w:rsidP="00F96C43">
            <w:pPr>
              <w:spacing w:line="240" w:lineRule="auto"/>
              <w:jc w:val="center"/>
              <w:rPr>
                <w:rFonts w:cs="Arial"/>
                <w:sz w:val="22"/>
              </w:rPr>
            </w:pPr>
            <w:r w:rsidRPr="00585989">
              <w:rPr>
                <w:rFonts w:cs="Arial"/>
                <w:sz w:val="22"/>
              </w:rPr>
              <w:t>4</w:t>
            </w:r>
          </w:p>
        </w:tc>
        <w:tc>
          <w:tcPr>
            <w:tcW w:w="1152" w:type="dxa"/>
            <w:vAlign w:val="center"/>
          </w:tcPr>
          <w:p w14:paraId="003CDACB" w14:textId="77777777" w:rsidR="00F96C43" w:rsidRPr="00585989" w:rsidRDefault="00F96C43" w:rsidP="00F96C43">
            <w:pPr>
              <w:spacing w:line="240" w:lineRule="auto"/>
              <w:jc w:val="center"/>
              <w:rPr>
                <w:rFonts w:cs="Arial"/>
                <w:sz w:val="22"/>
              </w:rPr>
            </w:pPr>
            <w:r w:rsidRPr="00585989">
              <w:rPr>
                <w:rFonts w:cs="Arial"/>
                <w:sz w:val="22"/>
              </w:rPr>
              <w:t>162</w:t>
            </w:r>
          </w:p>
        </w:tc>
      </w:tr>
      <w:tr w:rsidR="00F96C43" w:rsidRPr="00585989" w14:paraId="55433E1C" w14:textId="77777777" w:rsidTr="00EE7C12">
        <w:trPr>
          <w:trHeight w:val="96"/>
        </w:trPr>
        <w:tc>
          <w:tcPr>
            <w:tcW w:w="2243" w:type="dxa"/>
            <w:vAlign w:val="center"/>
          </w:tcPr>
          <w:p w14:paraId="22E7AB53" w14:textId="77777777" w:rsidR="00F96C43" w:rsidRPr="00585989" w:rsidRDefault="00F96C43" w:rsidP="00F96C43">
            <w:pPr>
              <w:spacing w:line="240" w:lineRule="auto"/>
              <w:ind w:left="175"/>
              <w:rPr>
                <w:rFonts w:cs="Arial"/>
                <w:sz w:val="22"/>
              </w:rPr>
            </w:pPr>
            <w:r w:rsidRPr="00585989">
              <w:rPr>
                <w:rFonts w:cs="Arial"/>
                <w:sz w:val="22"/>
              </w:rPr>
              <w:t xml:space="preserve">GPT </w:t>
            </w:r>
            <w:r w:rsidRPr="00585989">
              <w:rPr>
                <w:rFonts w:cs="Arial"/>
                <w:sz w:val="22"/>
              </w:rPr>
              <w:sym w:font="Symbol" w:char="F05B"/>
            </w:r>
            <w:r w:rsidRPr="00585989">
              <w:rPr>
                <w:rFonts w:cs="Arial"/>
                <w:sz w:val="22"/>
              </w:rPr>
              <w:t>U/l</w:t>
            </w:r>
            <w:r w:rsidRPr="00585989">
              <w:rPr>
                <w:rFonts w:cs="Arial"/>
                <w:sz w:val="22"/>
              </w:rPr>
              <w:sym w:font="Symbol" w:char="F05D"/>
            </w:r>
          </w:p>
        </w:tc>
        <w:tc>
          <w:tcPr>
            <w:tcW w:w="1150" w:type="dxa"/>
            <w:vAlign w:val="center"/>
          </w:tcPr>
          <w:p w14:paraId="2CA441A8" w14:textId="77777777" w:rsidR="00F96C43" w:rsidRPr="00585989" w:rsidRDefault="00F96C43" w:rsidP="00F96C43">
            <w:pPr>
              <w:spacing w:line="240" w:lineRule="auto"/>
              <w:jc w:val="center"/>
              <w:rPr>
                <w:rFonts w:cs="Arial"/>
                <w:sz w:val="22"/>
              </w:rPr>
            </w:pPr>
            <w:r w:rsidRPr="00585989">
              <w:rPr>
                <w:rFonts w:cs="Arial"/>
                <w:sz w:val="22"/>
              </w:rPr>
              <w:t>72</w:t>
            </w:r>
          </w:p>
        </w:tc>
        <w:tc>
          <w:tcPr>
            <w:tcW w:w="1150" w:type="dxa"/>
            <w:vAlign w:val="center"/>
          </w:tcPr>
          <w:p w14:paraId="34778DD8" w14:textId="77777777" w:rsidR="00F96C43" w:rsidRPr="00585989" w:rsidRDefault="00F96C43" w:rsidP="00F96C43">
            <w:pPr>
              <w:spacing w:line="240" w:lineRule="auto"/>
              <w:jc w:val="center"/>
              <w:rPr>
                <w:rFonts w:cs="Arial"/>
                <w:sz w:val="22"/>
              </w:rPr>
            </w:pPr>
            <w:r w:rsidRPr="00585989">
              <w:rPr>
                <w:rFonts w:cs="Arial"/>
                <w:sz w:val="22"/>
              </w:rPr>
              <w:t>17,4</w:t>
            </w:r>
          </w:p>
        </w:tc>
        <w:tc>
          <w:tcPr>
            <w:tcW w:w="1152" w:type="dxa"/>
            <w:vAlign w:val="center"/>
          </w:tcPr>
          <w:p w14:paraId="698959B4" w14:textId="77777777" w:rsidR="00F96C43" w:rsidRPr="00585989" w:rsidRDefault="00F96C43" w:rsidP="00F96C43">
            <w:pPr>
              <w:spacing w:line="240" w:lineRule="auto"/>
              <w:jc w:val="center"/>
              <w:rPr>
                <w:rFonts w:cs="Arial"/>
                <w:sz w:val="22"/>
              </w:rPr>
            </w:pPr>
            <w:r w:rsidRPr="00585989">
              <w:rPr>
                <w:rFonts w:cs="Arial"/>
                <w:sz w:val="22"/>
              </w:rPr>
              <w:t>188</w:t>
            </w:r>
          </w:p>
        </w:tc>
      </w:tr>
      <w:tr w:rsidR="00EE7C12" w:rsidRPr="00585989" w14:paraId="758AB3C6" w14:textId="77777777" w:rsidTr="001C2ED1">
        <w:trPr>
          <w:trHeight w:val="96"/>
        </w:trPr>
        <w:tc>
          <w:tcPr>
            <w:tcW w:w="2243" w:type="dxa"/>
            <w:tcBorders>
              <w:bottom w:val="single" w:sz="12" w:space="0" w:color="auto"/>
            </w:tcBorders>
            <w:vAlign w:val="center"/>
          </w:tcPr>
          <w:p w14:paraId="0AB2E88A" w14:textId="43010ED5" w:rsidR="00EE7C12" w:rsidRPr="00585989" w:rsidRDefault="00EE7C12" w:rsidP="00EE7C12">
            <w:pPr>
              <w:spacing w:line="240" w:lineRule="auto"/>
              <w:rPr>
                <w:rFonts w:cs="Arial"/>
                <w:sz w:val="22"/>
              </w:rPr>
            </w:pPr>
          </w:p>
        </w:tc>
        <w:tc>
          <w:tcPr>
            <w:tcW w:w="1150" w:type="dxa"/>
            <w:tcBorders>
              <w:bottom w:val="single" w:sz="12" w:space="0" w:color="auto"/>
            </w:tcBorders>
            <w:vAlign w:val="center"/>
          </w:tcPr>
          <w:p w14:paraId="0C8FB287" w14:textId="77777777" w:rsidR="00EE7C12" w:rsidRPr="00585989" w:rsidRDefault="00EE7C12" w:rsidP="00F96C43">
            <w:pPr>
              <w:spacing w:line="240" w:lineRule="auto"/>
              <w:jc w:val="center"/>
              <w:rPr>
                <w:rFonts w:cs="Arial"/>
                <w:sz w:val="22"/>
              </w:rPr>
            </w:pPr>
          </w:p>
        </w:tc>
        <w:tc>
          <w:tcPr>
            <w:tcW w:w="1150" w:type="dxa"/>
            <w:tcBorders>
              <w:bottom w:val="single" w:sz="12" w:space="0" w:color="auto"/>
            </w:tcBorders>
            <w:vAlign w:val="center"/>
          </w:tcPr>
          <w:p w14:paraId="7FC0A7F3" w14:textId="77777777" w:rsidR="00EE7C12" w:rsidRPr="00585989" w:rsidRDefault="00EE7C12" w:rsidP="00F96C43">
            <w:pPr>
              <w:spacing w:line="240" w:lineRule="auto"/>
              <w:jc w:val="center"/>
              <w:rPr>
                <w:rFonts w:cs="Arial"/>
                <w:sz w:val="22"/>
              </w:rPr>
            </w:pPr>
          </w:p>
        </w:tc>
        <w:tc>
          <w:tcPr>
            <w:tcW w:w="1152" w:type="dxa"/>
            <w:tcBorders>
              <w:bottom w:val="single" w:sz="12" w:space="0" w:color="auto"/>
            </w:tcBorders>
            <w:vAlign w:val="center"/>
          </w:tcPr>
          <w:p w14:paraId="1CF81D59" w14:textId="77777777" w:rsidR="00EE7C12" w:rsidRPr="00585989" w:rsidRDefault="00EE7C12" w:rsidP="00F96C43">
            <w:pPr>
              <w:spacing w:line="240" w:lineRule="auto"/>
              <w:jc w:val="center"/>
              <w:rPr>
                <w:rFonts w:cs="Arial"/>
                <w:sz w:val="22"/>
              </w:rPr>
            </w:pPr>
          </w:p>
        </w:tc>
      </w:tr>
    </w:tbl>
    <w:p w14:paraId="4A17CB3E" w14:textId="4DB58FCB" w:rsidR="00BC59BE" w:rsidRPr="00F522FB" w:rsidRDefault="00EE7C12" w:rsidP="005953A5">
      <w:pPr>
        <w:jc w:val="both"/>
        <w:rPr>
          <w:rFonts w:cs="Arial"/>
          <w:b/>
        </w:rPr>
      </w:pPr>
      <w:r w:rsidRPr="00F522FB">
        <w:rPr>
          <w:rFonts w:cs="Arial"/>
          <w:b/>
        </w:rPr>
        <w:lastRenderedPageBreak/>
        <w:t xml:space="preserve">References: </w:t>
      </w:r>
    </w:p>
    <w:p w14:paraId="05D0189A" w14:textId="1BB389EE" w:rsidR="00EE7C12" w:rsidRPr="00EE7C12" w:rsidRDefault="00EE7C12" w:rsidP="00EE7C12">
      <w:pPr>
        <w:widowControl w:val="0"/>
        <w:autoSpaceDE w:val="0"/>
        <w:autoSpaceDN w:val="0"/>
        <w:adjustRightInd w:val="0"/>
        <w:ind w:left="640" w:hanging="640"/>
        <w:rPr>
          <w:rFonts w:cs="Arial"/>
          <w:noProof/>
        </w:rPr>
      </w:pPr>
      <w:r>
        <w:rPr>
          <w:rFonts w:cs="Arial"/>
        </w:rPr>
        <w:fldChar w:fldCharType="begin" w:fldLock="1"/>
      </w:r>
      <w:r>
        <w:rPr>
          <w:rFonts w:cs="Arial"/>
        </w:rPr>
        <w:instrText xml:space="preserve">ADDIN Mendeley Bibliography CSL_BIBLIOGRAPHY </w:instrText>
      </w:r>
      <w:r>
        <w:rPr>
          <w:rFonts w:cs="Arial"/>
        </w:rPr>
        <w:fldChar w:fldCharType="separate"/>
      </w:r>
      <w:r w:rsidRPr="00EE7C12">
        <w:rPr>
          <w:rFonts w:cs="Arial"/>
          <w:noProof/>
        </w:rPr>
        <w:t xml:space="preserve">1. </w:t>
      </w:r>
      <w:r w:rsidRPr="00EE7C12">
        <w:rPr>
          <w:rFonts w:cs="Arial"/>
          <w:noProof/>
        </w:rPr>
        <w:tab/>
        <w:t>Johansson ME V, Hansson GC. 2012. Preservation of mucus in histological sections, immunostaining of mucins in fixed tissue, and localization of bacteria with FISH. Methods Mol Biol 842:229–235.</w:t>
      </w:r>
    </w:p>
    <w:p w14:paraId="1B4C8AD0"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2. </w:t>
      </w:r>
      <w:r w:rsidRPr="00EE7C12">
        <w:rPr>
          <w:rFonts w:cs="Arial"/>
          <w:noProof/>
        </w:rPr>
        <w:tab/>
        <w:t>Cubero FJ, Peng J, Liao L, Su H, Zhao G, Eugenio Zoubek M, Macías-Rodríguez R, Ruiz-Margain A, Reißing J, Zimmermann HW, Gassler N, Luedde T, Liedtke C, Hatting M, Trautwein C. 2018. Inactivation of caspase 8 in liver parenchymal cells confers protection against murine obstructive cholestasis. J Hepatol.</w:t>
      </w:r>
    </w:p>
    <w:p w14:paraId="6276103F"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3. </w:t>
      </w:r>
      <w:r w:rsidRPr="00EE7C12">
        <w:rPr>
          <w:rFonts w:cs="Arial"/>
          <w:noProof/>
        </w:rPr>
        <w:tab/>
        <w:t>Schneider KM, Bieghs V, Heymann F, Hu W, Dreymueller D, Liao L, Frissen M, Ludwig A, Gassler N, Pabst O, Latz E, Sellge G, Penders J, Tacke F, Trautwein C. 2015. CX3CR1 is a gatekeeper for intestinal barrier integrity in mice: Limiting steatohepatitis by maintaining intestinal homeostasis. Hepatology 62:1405–1416.</w:t>
      </w:r>
    </w:p>
    <w:p w14:paraId="665A340D"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4. </w:t>
      </w:r>
      <w:r w:rsidRPr="00EE7C12">
        <w:rPr>
          <w:rFonts w:cs="Arial"/>
          <w:noProof/>
        </w:rPr>
        <w:tab/>
        <w:t>Gálvez EJC, Iljazovic A, Gronow A, Flavell R, Strowig T. 2017. Shaping of Intestinal Microbiota in Nlrp6- and Rag2-Deficient Mice Depends on Community Structure. Cell Rep 21:3914–3926.</w:t>
      </w:r>
    </w:p>
    <w:p w14:paraId="2D8BB788" w14:textId="77777777" w:rsidR="00EE7C12" w:rsidRPr="00D74A77" w:rsidRDefault="00EE7C12" w:rsidP="00EE7C12">
      <w:pPr>
        <w:widowControl w:val="0"/>
        <w:autoSpaceDE w:val="0"/>
        <w:autoSpaceDN w:val="0"/>
        <w:adjustRightInd w:val="0"/>
        <w:ind w:left="640" w:hanging="640"/>
        <w:rPr>
          <w:rFonts w:cs="Arial"/>
          <w:noProof/>
          <w:lang w:val="de-DE"/>
        </w:rPr>
      </w:pPr>
      <w:r w:rsidRPr="00EE7C12">
        <w:rPr>
          <w:rFonts w:cs="Arial"/>
          <w:noProof/>
        </w:rPr>
        <w:t xml:space="preserve">5. </w:t>
      </w:r>
      <w:r w:rsidRPr="00EE7C12">
        <w:rPr>
          <w:rFonts w:cs="Arial"/>
          <w:noProof/>
        </w:rPr>
        <w:tab/>
        <w:t xml:space="preserve">Edgar RC. 2013. UPARSE: Highly accurate OTU sequences from microbial amplicon reads. </w:t>
      </w:r>
      <w:r w:rsidRPr="00D74A77">
        <w:rPr>
          <w:rFonts w:cs="Arial"/>
          <w:noProof/>
          <w:lang w:val="de-DE"/>
        </w:rPr>
        <w:t>Nat Methods 10:996–998.</w:t>
      </w:r>
    </w:p>
    <w:p w14:paraId="640CA9F5" w14:textId="77777777" w:rsidR="00EE7C12" w:rsidRPr="00EE7C12" w:rsidRDefault="00EE7C12" w:rsidP="00EE7C12">
      <w:pPr>
        <w:widowControl w:val="0"/>
        <w:autoSpaceDE w:val="0"/>
        <w:autoSpaceDN w:val="0"/>
        <w:adjustRightInd w:val="0"/>
        <w:ind w:left="640" w:hanging="640"/>
        <w:rPr>
          <w:rFonts w:cs="Arial"/>
          <w:noProof/>
        </w:rPr>
      </w:pPr>
      <w:r w:rsidRPr="00D74A77">
        <w:rPr>
          <w:rFonts w:cs="Arial"/>
          <w:noProof/>
          <w:lang w:val="de-DE"/>
        </w:rPr>
        <w:t xml:space="preserve">6. </w:t>
      </w:r>
      <w:r w:rsidRPr="00D74A77">
        <w:rPr>
          <w:rFonts w:cs="Arial"/>
          <w:noProof/>
          <w:lang w:val="de-DE"/>
        </w:rPr>
        <w:tab/>
        <w:t xml:space="preserve">Quast C, Pruesse E, Yilmaz P, Gerken J, Schweer T, Yarza P, Peplies J, Glöckner FO. 2013. </w:t>
      </w:r>
      <w:r w:rsidRPr="00EE7C12">
        <w:rPr>
          <w:rFonts w:cs="Arial"/>
          <w:noProof/>
        </w:rPr>
        <w:t>The SILVA ribosomal RNA gene database project: Improved data processing and web-based tools. Nucleic Acids Res 41.</w:t>
      </w:r>
    </w:p>
    <w:p w14:paraId="54E0F5C4"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7. </w:t>
      </w:r>
      <w:r w:rsidRPr="00EE7C12">
        <w:rPr>
          <w:rFonts w:cs="Arial"/>
          <w:noProof/>
        </w:rPr>
        <w:tab/>
        <w:t>Wang Q, Garrity GM, Tiedje JM, Cole JR. 2007. Naïve Bayesian classifier for rapid assignment of rRNA sequences into the new bacterial taxonomy. Appl Environ Microbiol 73:5261–5267.</w:t>
      </w:r>
    </w:p>
    <w:p w14:paraId="55415145"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8. </w:t>
      </w:r>
      <w:r w:rsidRPr="00EE7C12">
        <w:rPr>
          <w:rFonts w:cs="Arial"/>
          <w:noProof/>
        </w:rPr>
        <w:tab/>
        <w:t>McMurdie PJ, Holmes S. 2013. phyloseq: An R Package for Reproducible Interactive Analysis and Graphics of Microbiome Census Data. PLoS One 8:e61217.</w:t>
      </w:r>
    </w:p>
    <w:p w14:paraId="45D7A194"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9. </w:t>
      </w:r>
      <w:r w:rsidRPr="00EE7C12">
        <w:rPr>
          <w:rFonts w:cs="Arial"/>
          <w:noProof/>
        </w:rPr>
        <w:tab/>
        <w:t xml:space="preserve">Segata N, Izard J, Waldron L, Gevers D, Miropolsky L, Garrett WS, Huttenhower </w:t>
      </w:r>
      <w:r w:rsidRPr="00EE7C12">
        <w:rPr>
          <w:rFonts w:cs="Arial"/>
          <w:noProof/>
        </w:rPr>
        <w:lastRenderedPageBreak/>
        <w:t>C. 2011. Metagenomic biomarker discovery and explanation. Genome Biol 12.</w:t>
      </w:r>
    </w:p>
    <w:p w14:paraId="7C5E789D"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10. </w:t>
      </w:r>
      <w:r w:rsidRPr="00EE7C12">
        <w:rPr>
          <w:rFonts w:cs="Arial"/>
          <w:noProof/>
        </w:rPr>
        <w:tab/>
        <w:t>Love MI, Huber W, Anders S. 2014. Moderated estimation of fold change and dispersion for RNA-seq data with DESeq2. Genome Biol 15.</w:t>
      </w:r>
    </w:p>
    <w:p w14:paraId="4F4614AC" w14:textId="77777777" w:rsidR="00EE7C12" w:rsidRPr="00EE7C12" w:rsidRDefault="00EE7C12" w:rsidP="00EE7C12">
      <w:pPr>
        <w:widowControl w:val="0"/>
        <w:autoSpaceDE w:val="0"/>
        <w:autoSpaceDN w:val="0"/>
        <w:adjustRightInd w:val="0"/>
        <w:ind w:left="640" w:hanging="640"/>
        <w:rPr>
          <w:rFonts w:cs="Arial"/>
          <w:noProof/>
        </w:rPr>
      </w:pPr>
      <w:r w:rsidRPr="00EE7C12">
        <w:rPr>
          <w:rFonts w:cs="Arial"/>
          <w:noProof/>
        </w:rPr>
        <w:t xml:space="preserve">11. </w:t>
      </w:r>
      <w:r w:rsidRPr="00EE7C12">
        <w:rPr>
          <w:rFonts w:cs="Arial"/>
          <w:noProof/>
        </w:rPr>
        <w:tab/>
        <w:t>Wickham H. 2009. ggplot2: elegant graphics for data analysis. Springer New York.</w:t>
      </w:r>
    </w:p>
    <w:p w14:paraId="0DDEFF41" w14:textId="43EF984E" w:rsidR="00EE7C12" w:rsidRPr="00D47D9E" w:rsidRDefault="00EE7C12" w:rsidP="005953A5">
      <w:pPr>
        <w:jc w:val="both"/>
        <w:rPr>
          <w:rFonts w:cs="Arial"/>
        </w:rPr>
      </w:pPr>
      <w:r>
        <w:rPr>
          <w:rFonts w:cs="Arial"/>
        </w:rPr>
        <w:fldChar w:fldCharType="end"/>
      </w:r>
    </w:p>
    <w:sectPr w:rsidR="00EE7C12" w:rsidRPr="00D47D9E" w:rsidSect="00D5536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243F" w14:textId="77777777" w:rsidR="00846255" w:rsidRDefault="00846255" w:rsidP="00655296">
      <w:pPr>
        <w:spacing w:after="0" w:line="240" w:lineRule="auto"/>
      </w:pPr>
      <w:r>
        <w:separator/>
      </w:r>
    </w:p>
  </w:endnote>
  <w:endnote w:type="continuationSeparator" w:id="0">
    <w:p w14:paraId="26EBEAE7" w14:textId="77777777" w:rsidR="00846255" w:rsidRDefault="00846255" w:rsidP="0065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vOT1ef757c0">
    <w:altName w:val="SimSun"/>
    <w:panose1 w:val="020B0604020202020204"/>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E288" w14:textId="77777777" w:rsidR="00846255" w:rsidRDefault="00846255" w:rsidP="00655296">
      <w:pPr>
        <w:spacing w:after="0" w:line="240" w:lineRule="auto"/>
      </w:pPr>
      <w:r>
        <w:separator/>
      </w:r>
    </w:p>
  </w:footnote>
  <w:footnote w:type="continuationSeparator" w:id="0">
    <w:p w14:paraId="5539C849" w14:textId="77777777" w:rsidR="00846255" w:rsidRDefault="00846255" w:rsidP="00655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505"/>
    <w:multiLevelType w:val="hybridMultilevel"/>
    <w:tmpl w:val="23641908"/>
    <w:lvl w:ilvl="0" w:tplc="87DA44AA">
      <w:start w:val="1"/>
      <w:numFmt w:val="decimal"/>
      <w:pStyle w:val="Listenabsatz"/>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 w15:restartNumberingAfterBreak="0">
    <w:nsid w:val="4F3F623A"/>
    <w:multiLevelType w:val="multilevel"/>
    <w:tmpl w:val="763E876A"/>
    <w:lvl w:ilvl="0">
      <w:start w:val="1"/>
      <w:numFmt w:val="decimal"/>
      <w:lvlText w:val="%1."/>
      <w:lvlJc w:val="left"/>
      <w:pPr>
        <w:ind w:left="425" w:hanging="425"/>
      </w:pPr>
      <w:rPr>
        <w:rFonts w:hint="eastAsia"/>
      </w:rPr>
    </w:lvl>
    <w:lvl w:ilvl="1">
      <w:start w:val="1"/>
      <w:numFmt w:val="decimal"/>
      <w:pStyle w:val="berschrift2"/>
      <w:lvlText w:val="%1.%2."/>
      <w:lvlJc w:val="left"/>
      <w:pPr>
        <w:ind w:left="567" w:hanging="567"/>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5" w:hanging="709"/>
      </w:pPr>
      <w:rPr>
        <w:rFonts w:hint="eastAsia"/>
        <w:i w:val="0"/>
        <w:lang w:val="en-U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584F1C87"/>
    <w:multiLevelType w:val="hybridMultilevel"/>
    <w:tmpl w:val="22F8CA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43D0E28"/>
    <w:multiLevelType w:val="multilevel"/>
    <w:tmpl w:val="61B8627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i w:val="0"/>
      </w:r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F0B2566"/>
    <w:multiLevelType w:val="hybridMultilevel"/>
    <w:tmpl w:val="4524C5E0"/>
    <w:lvl w:ilvl="0" w:tplc="D58E3E9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CITTEMPLATE" w:val="{F3884662-1497-49FC-8670-93A698B1F944}"/>
    <w:docVar w:name="KY_MEDREF_DOCUID" w:val="{98BDFDFC-047F-4B36-9F16-6A2D38D1B636}"/>
    <w:docVar w:name="KY_MEDREF_VERSION" w:val="3"/>
    <w:docVar w:name="KY.MR.DATA{3CFD8CDF-73D2-403E-9321-3C6D26054DD8}130" w:val="&lt;KyMRNote dbid=&quot;{3CFD8CDF-73D2-403E-9321-3C6D26054DD8}&quot; recid=&quot;130&quot;&gt;&lt;Data&gt;&lt;Field id=&quot;AccessNum&quot;&gt;25731159&lt;/Field&gt;&lt;Field id=&quot;Author&quot;&gt;Taniguchi K;Wu LW;Grivennikov SI;de Jong PR;Lian I;Yu FX;Wang K;Ho SB;Boland BS;Chang JT;Sandborn WJ;Hardiman G;Raz E;Maehara Y;Yoshimura A;Zucman-Rossi J;Guan KL;Karin M&lt;/Field&gt;&lt;Field id=&quot;AuthorTrans&quot;&gt;&lt;/Field&gt;&lt;Field id=&quot;DOI&quot;&gt;10.1038/nature14228&lt;/Field&gt;&lt;Field id=&quot;Editor&quot;&gt;&lt;/Field&gt;&lt;Field id=&quot;FmtTitle&quot;&gt;&lt;/Field&gt;&lt;Field id=&quot;Issue&quot;&gt;7541&lt;/Field&gt;&lt;Field id=&quot;LIID&quot;&gt;130&lt;/Field&gt;&lt;Field id=&quot;Magazine&quot;&gt;Nature&lt;/Field&gt;&lt;Field id=&quot;MagazineAB&quot;&gt;Nature&lt;/Field&gt;&lt;Field id=&quot;MagazineTrans&quot;&gt;&lt;/Field&gt;&lt;Field id=&quot;PageNum&quot;&gt;57-62&lt;/Field&gt;&lt;Field id=&quot;PubDate&quot;&gt;Mar 5&lt;/Field&gt;&lt;Field id=&quot;PubPlace&quot;&gt;England&lt;/Field&gt;&lt;Field id=&quot;PubPlaceTrans&quot;&gt;&lt;/Field&gt;&lt;Field id=&quot;PubYear&quot;&gt;2015&lt;/Field&gt;&lt;Field id=&quot;Publisher&quot;&gt;&lt;/Field&gt;&lt;Field id=&quot;PublisherTrans&quot;&gt;&lt;/Field&gt;&lt;Field id=&quot;TITrans&quot;&gt;&lt;/Field&gt;&lt;Field id=&quot;Title&quot;&gt;A gp130-Src-YAP module links inflammation to epithelial regeneration.&lt;/Field&gt;&lt;Field id=&quot;Translator&quot;&gt;&lt;/Field&gt;&lt;Field id=&quot;Type&quot;&gt;{041D4F77-279E-4405-0002-4388361B9CFF}&lt;/Field&gt;&lt;Field id=&quot;Version&quot;&gt;&lt;/Field&gt;&lt;Field id=&quot;Vol&quot;&gt;519&lt;/Field&gt;&lt;Field id=&quot;Author2&quot;&gt;Taniguchi,K;Wu,LW;Grivennikov,SI;&lt;/Field&gt;&lt;/Data&gt;&lt;Ref&gt;&lt;Display&gt;&lt;Text StringText=&quot;「RefIndex」&quot; SuperScript=&quot;true&quot;/&gt;&lt;/Display&gt;&lt;/Ref&gt;&lt;Doc&gt;&lt;Display&gt;&lt;Text StringText=&quot;Taniguchi K, Wu LW, Grivennikov SI, et al.&quot; StringGroup=&quot;Author&quot;/&gt;&lt;Text StringText=&quot; &quot; StringGroup=&quot;Author&quot;/&gt;&lt;Text StringText=&quot;A gp130-Src-YAP module links inflammation to epithelial regeneration&quot; StringGroup=&quot;Title&quot;/&gt;&lt;Text StringText=&quot;. &quot; StringGroup=&quot;Title&quot;/&gt;&lt;Text StringText=&quot;Nature&quot; StringGroup=&quot;Magazine&quot;/&gt;&lt;Text StringText=&quot;. &quot; StringGroup=&quot;Magazine&quot;/&gt;&lt;Text StringText=&quot;2015&quot; StringGroup=&quot;PubYear&quot;/&gt;&lt;Text StringText=&quot;. &quot; StringGroup=&quot;PubYear&quot;/&gt;&lt;Text StringText=&quot;519&quot; StringGroup=&quot;Vol&quot;/&gt;&lt;Text StringText=&quot;(&quot; StringGroup=&quot;Issue&quot;/&gt;&lt;Text StringText=&quot;7541&quot; StringGroup=&quot;Issue&quot;/&gt;&lt;Text StringText=&quot;)&quot; StringGroup=&quot;Issue&quot;/&gt;&lt;Text StringText=&quot;: &quot; StringGroup=&quot;PageNum&quot;/&gt;&lt;Text StringText=&quot;57-62&quot; StringGroup=&quot;PageNum&quot;/&gt;&lt;Text StringText=&quot;.&quot; StringGroup=&quot;none&quot;/&gt;&lt;/Display&gt;&lt;/Doc&gt;&lt;/KyMRNote&gt;"/>
    <w:docVar w:name="KY.MR.DATA{3CFD8CDF-73D2-403E-9321-3C6D26054DD8}275" w:val="&lt;KyMRNote dbid=&quot;{3CFD8CDF-73D2-403E-9321-3C6D26054DD8}&quot; recid=&quot;275&quot;&gt;&lt;Data&gt;&lt;Field id=&quot;AccessNum&quot;&gt;26178698&lt;/Field&gt;&lt;Field id=&quot;Author&quot;&gt;Schneider KM;Bieghs V;Heymann F;Hu W;Dreymueller D;Liao L;Frissen M;Ludwig A;Gassler N;Pabst O;Latz E;Sellge G;Penders J;Tacke F;Trautwein C&lt;/Field&gt;&lt;Field id=&quot;AuthorTrans&quot;&gt;&lt;/Field&gt;&lt;Field id=&quot;DOI&quot;&gt;10.1002/hep.27982&lt;/Field&gt;&lt;Field id=&quot;Editor&quot;&gt;&lt;/Field&gt;&lt;Field id=&quot;FmtTitle&quot;&gt;&lt;/Field&gt;&lt;Field id=&quot;Issue&quot;&gt;5&lt;/Field&gt;&lt;Field id=&quot;LIID&quot;&gt;275&lt;/Field&gt;&lt;Field id=&quot;Magazine&quot;&gt;Hepatology : official journal of the American Association for the Study of Liver Diseases&lt;/Field&gt;&lt;Field id=&quot;MagazineAB&quot;&gt;Hepatology&lt;/Field&gt;&lt;Field id=&quot;MagazineTrans&quot;&gt;&lt;/Field&gt;&lt;Field id=&quot;PageNum&quot;&gt;1405-16&lt;/Field&gt;&lt;Field id=&quot;PubDate&quot;&gt;Nov&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CX3CR1 is a gatekeeper for intestinal barrier integrity in mice: Limiting steatohepatitis by maintaining intestinal homeostasis.&lt;/Field&gt;&lt;Field id=&quot;Translator&quot;&gt;&lt;/Field&gt;&lt;Field id=&quot;Type&quot;&gt;{041D4F77-279E-4405-0002-4388361B9CFF}&lt;/Field&gt;&lt;Field id=&quot;Version&quot;&gt;&lt;/Field&gt;&lt;Field id=&quot;Vol&quot;&gt;62&lt;/Field&gt;&lt;Field id=&quot;Author2&quot;&gt;Schneider,KM;Bieghs,V;Heymann,F;Hu,W;Dreymueller,D;Liao,L;&lt;/Field&gt;&lt;/Data&gt;&lt;Ref&gt;&lt;Display&gt;&lt;Text StringText=&quot;「RefIndex」&quot; SuperScript=&quot;true&quot;/&gt;&lt;/Display&gt;&lt;/Ref&gt;&lt;Doc&gt;&lt;Display&gt;&lt;Text StringText=&quot;Schneider KM, Bieghs V, Heymann F, Hu W, Dreymueller D, Liao L, et al.&quot; StringGroup=&quot;Author&quot;/&gt;&lt;Text StringText=&quot; &quot; StringGroup=&quot;Author&quot;/&gt;&lt;Text StringText=&quot;CX3CR1 is a gatekeeper for intestinal barrier integrity in mice: Limiting steatohepatitis by maintaining intestinal homeostasis&quot; StringGroup=&quot;Title&quot;/&gt;&lt;Text StringText=&quot;. &quot; StringGroup=&quot;Title&quot;/&gt;&lt;Text StringText=&quot;Hepatology&quot; StringGroup=&quot;Magazine&quot;/&gt;&lt;Text StringText=&quot; &quot; StringGroup=&quot;Magazine&quot;/&gt;&lt;Text StringText=&quot;2015&quot; StringGroup=&quot;PubYear&quot;/&gt;&lt;Text StringText=&quot;; &quot; StringGroup=&quot;PubYear&quot;/&gt;&lt;Text StringText=&quot;62&quot; StringGroup=&quot;Vol&quot;/&gt;&lt;Text StringText=&quot;:&quot; StringGroup=&quot;PageNum&quot;/&gt;&lt;Text StringText=&quot;1405-1416&quot; StringGroup=&quot;PageNum&quot;/&gt;&lt;Text StringText=&quot;.&quot; StringGroup=&quot;none&quot;/&gt;&lt;/Display&gt;&lt;/Doc&gt;&lt;/KyMRNote&gt;"/>
    <w:docVar w:name="KY.MR.DATA{3CFD8CDF-73D2-403E-9321-3C6D26054DD8}463" w:val="&lt;KyMRNote dbid=&quot;{3CFD8CDF-73D2-403E-9321-3C6D26054DD8}&quot; recid=&quot;463&quot;&gt;&lt;Data&gt;&lt;Field id=&quot;AccessNum&quot;&gt;22259139&lt;/Field&gt;&lt;Field id=&quot;Author&quot;&gt;Johansson ME;Hansson GC&lt;/Field&gt;&lt;Field id=&quot;AuthorTrans&quot;&gt;&lt;/Field&gt;&lt;Field id=&quot;DOI&quot;&gt;10.1007/978-1-61779-513-8_13&lt;/Field&gt;&lt;Field id=&quot;Editor&quot;&gt;&lt;/Field&gt;&lt;Field id=&quot;FmtTitle&quot;&gt;&lt;/Field&gt;&lt;Field id=&quot;Issue&quot;&gt;&lt;/Field&gt;&lt;Field id=&quot;LIID&quot;&gt;463&lt;/Field&gt;&lt;Field id=&quot;Magazine&quot;&gt;Methods in molecular biology&lt;/Field&gt;&lt;Field id=&quot;MagazineAB&quot;&gt;Methods Mol Biol&lt;/Field&gt;&lt;Field id=&quot;MagazineTrans&quot;&gt;&lt;/Field&gt;&lt;Field id=&quot;PageNum&quot;&gt;229-35&lt;/Field&gt;&lt;Field id=&quot;PubDate&quot;&g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reservation of mucus in histological sections, immunostaining of mucins in fixed tissue, and localization of bacteria with FISH.&lt;/Field&gt;&lt;Field id=&quot;Translator&quot;&gt;&lt;/Field&gt;&lt;Field id=&quot;Type&quot;&gt;{041D4F77-279E-4405-0002-4388361B9CFF}&lt;/Field&gt;&lt;Field id=&quot;Version&quot;&gt;&lt;/Field&gt;&lt;Field id=&quot;Vol&quot;&gt;842&lt;/Field&gt;&lt;Field id=&quot;Author2&quot;&gt;Johansson,ME;Hansson,GC;&lt;/Field&gt;&lt;/Data&gt;&lt;Ref&gt;&lt;Display&gt;&lt;Text StringText=&quot;「RefIndex」&quot; SuperScript=&quot;true&quot;/&gt;&lt;/Display&gt;&lt;/Ref&gt;&lt;Doc&gt;&lt;Display&gt;&lt;Text StringText=&quot;Johansson ME, Hansson GC&quot; StringGroup=&quot;Author&quot;/&gt;&lt;Text StringText=&quot;. &quot; StringGroup=&quot;Author&quot;/&gt;&lt;Text StringText=&quot;Preservation of mucus in histological sections, immunostaining of mucins in fixed tissue, and localization of bacteria with FISH&quot; StringGroup=&quot;Title&quot;/&gt;&lt;Text StringText=&quot;. &quot; StringGroup=&quot;Title&quot;/&gt;&lt;Text StringText=&quot;Methods Mol Biol&quot; StringGroup=&quot;Magazine&quot;/&gt;&lt;Text StringText=&quot;. &quot; StringGroup=&quot;Magazine&quot;/&gt;&lt;Text StringText=&quot;2012&quot; StringGroup=&quot;PubYear&quot;/&gt;&lt;Text StringText=&quot;. &quot; StringGroup=&quot;PubYear&quot;/&gt;&lt;Text StringText=&quot;842&quot; StringGroup=&quot;Vol&quot;/&gt;&lt;Text StringText=&quot;: &quot; StringGroup=&quot;PageNum&quot;/&gt;&lt;Text StringText=&quot;229-35&quot; StringGroup=&quot;PageNum&quot;/&gt;&lt;Text StringText=&quot;.&quot; StringGroup=&quot;none&quot;/&gt;&lt;/Display&gt;&lt;/Doc&gt;&lt;/KyMRNote&gt;"/>
    <w:docVar w:name="KY.MR.DATA{3CFD8CDF-73D2-403E-9321-3C6D26054DD8}468" w:val="&lt;KyMRNote&gt;&lt;Data&gt;&lt;Field id=&quot;AccessNum&quot;&gt;21878202&lt;/Field&gt;&lt;Field id=&quot;Author&quot;&gt;Liedtke C;Bangen JM;Freimuth J;Beraza N;Lambertz D;Cubero FJ;Hatting M;Karlmark KR;Streetz KL;Krombach GA;Tacke F;Gassler N;Riethmacher D;Trautwein C&lt;/Field&gt;&lt;Field id=&quot;AuthorTrans&quot;&gt;&lt;/Field&gt;&lt;Field id=&quot;DOI&quot;&gt;10.1053/j.gastro.2011.08.037&lt;/Field&gt;&lt;Field id=&quot;Editor&quot;&gt;&lt;/Field&gt;&lt;Field id=&quot;FmtTitle&quot;&gt;&lt;/Field&gt;&lt;Field id=&quot;Issue&quot;&gt;6&lt;/Field&gt;&lt;Field id=&quot;LIID&quot;&gt;468&lt;/Field&gt;&lt;Field id=&quot;Magazine&quot;&gt;Gastroenterology&lt;/Field&gt;&lt;Field id=&quot;MagazineAB&quot;&gt;Gastroenterology&lt;/Field&gt;&lt;Field id=&quot;MagazineTrans&quot;&gt;&lt;/Field&gt;&lt;Field id=&quot;PageNum&quot;&gt;2176-87&lt;/Field&gt;&lt;Field id=&quot;PubDate&quot;&gt;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Loss of caspase-8 protects mice against inflammation-related hepatocarcinogenesis but induces non-apoptotic liver injury.&lt;/Field&gt;&lt;Field id=&quot;Translator&quot;&gt;&lt;/Field&gt;&lt;Field id=&quot;Type&quot;&gt;{041D4F77-279E-4405-0002-4388361B9CFF}&lt;/Field&gt;&lt;Field id=&quot;Version&quot;&gt;&lt;/Field&gt;&lt;Field id=&quot;Vol&quot;&gt;141&lt;/Field&gt;&lt;Field id=&quot;Author2&quot;&gt;Liedtke,C;Bangen,JM;Freimuth,J;Beraza,N;Lambertz,D;Cubero,FJ;&lt;/Field&gt;&lt;/Data&gt;&lt;Ref&gt;&lt;Display&gt;&lt;Text StringText=&quot;「RefIndex」&quot; SuperScript=&quot;true&quot;/&gt;&lt;/Display&gt;&lt;/Ref&gt;&lt;Doc&gt;&lt;Display&gt;&lt;Text StringText=&quot;Liedtke C, Bangen JM, Freimuth J, Beraza N, Lambertz D, Cubero FJ, et al.&quot; StringGroup=&quot;Author&quot;/&gt;&lt;Text StringText=&quot; &quot; StringGroup=&quot;Author&quot;/&gt;&lt;Text StringText=&quot;Loss of caspase-8 protects mice against inflammation-related hepatocarcinogenesis but induces non-apoptotic liver injury&quot; StringGroup=&quot;Title&quot;/&gt;&lt;Text StringText=&quot;. &quot; StringGroup=&quot;Title&quot;/&gt;&lt;Text StringText=&quot;Gastroenterology&quot; StringGroup=&quot;Magazine&quot;/&gt;&lt;Text StringText=&quot; &quot; StringGroup=&quot;Magazine&quot;/&gt;&lt;Text StringText=&quot;2011&quot; StringGroup=&quot;PubYear&quot;/&gt;&lt;Text StringText=&quot;; &quot; StringGroup=&quot;PubYear&quot;/&gt;&lt;Text StringText=&quot;141&quot; StringGroup=&quot;Vol&quot;/&gt;&lt;Text StringText=&quot;:&quot; StringGroup=&quot;PageNum&quot;/&gt;&lt;Text StringText=&quot;2176-2187&quot; StringGroup=&quot;PageNum&quot;/&gt;&lt;Text StringText=&quot;.&quot; StringGroup=&quot;none&quot;/&gt;&lt;/Display&gt;&lt;/Doc&gt;&lt;/KyMRNote&gt;"/>
    <w:docVar w:name="KY.MR.DATA{3CFD8CDF-73D2-403E-9321-3C6D26054DD8}694" w:val="&lt;KyMRNote dbid=&quot;{3CFD8CDF-73D2-403E-9321-3C6D26054DD8}&quot; recid=&quot;694&quot;&gt;&lt;Data&gt;&lt;Field id=&quot;AccessNum&quot;&gt;23339067&lt;/Field&gt;&lt;Field id=&quot;Author&quot;&gt;Hatting M;Zhao G;Schumacher F;Sellge G;Al Masaoudi M;Gaβler N;Boekschoten M;Müller M;Liedtke C;Cubero FJ;Trautwein C&lt;/Field&gt;&lt;Field id=&quot;AuthorTrans&quot;&gt;&lt;/Field&gt;&lt;Field id=&quot;DOI&quot;&gt;10.1002/hep.26271&lt;/Field&gt;&lt;Field id=&quot;Editor&quot;&gt;&lt;/Field&gt;&lt;Field id=&quot;FmtTitle&quot;&gt;&lt;/Field&gt;&lt;Field id=&quot;Issue&quot;&gt;6&lt;/Field&gt;&lt;Field id=&quot;LIID&quot;&gt;694&lt;/Field&gt;&lt;Field id=&quot;Magazine&quot;&gt;Hepatology : official journal of the American Association for the Study of Liver Diseases&lt;/Field&gt;&lt;Field id=&quot;MagazineAB&quot;&gt;Hepatology&lt;/Field&gt;&lt;Field id=&quot;MagazineTrans&quot;&gt;&lt;/Field&gt;&lt;Field id=&quot;PageNum&quot;&gt;2189-201&lt;/Field&gt;&lt;Field id=&quot;PubDate&quot;&gt;Jun&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ocyte caspase-8 is an essential modulator of steatohepatitis in rodents.&lt;/Field&gt;&lt;Field id=&quot;Translator&quot;&gt;&lt;/Field&gt;&lt;Field id=&quot;Type&quot;&gt;{041D4F77-279E-4405-0002-4388361B9CFF}&lt;/Field&gt;&lt;Field id=&quot;Version&quot;&gt;&lt;/Field&gt;&lt;Field id=&quot;Vol&quot;&gt;57&lt;/Field&gt;&lt;Field id=&quot;Author2&quot;&gt;Hatting,M;Zhao,G;Schumacher,F;&lt;/Field&gt;&lt;/Data&gt;&lt;Ref&gt;&lt;Display&gt;&lt;Text StringText=&quot;「RefIndex」&quot; SuperScript=&quot;true&quot;/&gt;&lt;/Display&gt;&lt;/Ref&gt;&lt;Doc&gt;&lt;Display&gt;&lt;Text StringText=&quot;Hatting M, Zhao G, Schumacher F, et al.&quot; StringGroup=&quot;Author&quot;/&gt;&lt;Text StringText=&quot; &quot; StringGroup=&quot;Author&quot;/&gt;&lt;Text StringText=&quot;Hepatocyte caspase-8 is an essential modulator of steatohepatitis in rodents&quot; StringGroup=&quot;Title&quot;/&gt;&lt;Text StringText=&quot;. &quot; StringGroup=&quot;Title&quot;/&gt;&lt;Text StringText=&quot;Hepatology&quot; StringGroup=&quot;Magazine&quot;/&gt;&lt;Text StringText=&quot;. &quot; StringGroup=&quot;Magazine&quot;/&gt;&lt;Text StringText=&quot;2013&quot; StringGroup=&quot;PubYear&quot;/&gt;&lt;Text StringText=&quot;. &quot; StringGroup=&quot;PubYear&quot;/&gt;&lt;Text StringText=&quot;57&quot; StringGroup=&quot;Vol&quot;/&gt;&lt;Text StringText=&quot;(&quot; StringGroup=&quot;Issue&quot;/&gt;&lt;Text StringText=&quot;6&quot; StringGroup=&quot;Issue&quot;/&gt;&lt;Text StringText=&quot;)&quot; StringGroup=&quot;Issue&quot;/&gt;&lt;Text StringText=&quot;: &quot; StringGroup=&quot;PageNum&quot;/&gt;&lt;Text StringText=&quot;2189-201&quot; StringGroup=&quot;PageNum&quot;/&gt;&lt;Text StringText=&quot;.&quot; StringGroup=&quot;none&quot;/&gt;&lt;/Display&gt;&lt;/Doc&gt;&lt;/KyMRNote&gt;"/>
    <w:docVar w:name="KY.MR.DATA{3CFD8CDF-73D2-403E-9321-3C6D26054DD8}696" w:val="&lt;KyMRNote dbid=&quot;{3CFD8CDF-73D2-403E-9321-3C6D26054DD8}&quot; recid=&quot;696&quot;&gt;&lt;Data&gt;&lt;Field id=&quot;AccessNum&quot;&gt;2410480&lt;/Field&gt;&lt;Field id=&quot;Author&quot;&gt;López-De León A;Rojkind M&lt;/Field&gt;&lt;Field id=&quot;AuthorTrans&quot;&gt;&lt;/Field&gt;&lt;Field id=&quot;DOI&quot;&gt;10.1177/33.8.2410480&lt;/Field&gt;&lt;Field id=&quot;Editor&quot;&gt;&lt;/Field&gt;&lt;Field id=&quot;FmtTitle&quot;&gt;&lt;/Field&gt;&lt;Field id=&quot;Issue&quot;&gt;8&lt;/Field&gt;&lt;Field id=&quot;LIID&quot;&gt;696&lt;/Field&gt;&lt;Field id=&quot;Magazine&quot;&gt;The journal of histochemistry and cytochemistry : official journal of the Histochemistry Society&lt;/Field&gt;&lt;Field id=&quot;MagazineAB&quot;&gt;J Histochem Cytochem&lt;/Field&gt;&lt;Field id=&quot;MagazineTrans&quot;&gt;&lt;/Field&gt;&lt;Field id=&quot;PageNum&quot;&gt;737-43&lt;/Field&gt;&lt;Field id=&quot;PubDate&quot;&gt;Aug&lt;/Field&gt;&lt;Field id=&quot;PubPlace&quot;&gt;United States&lt;/Field&gt;&lt;Field id=&quot;PubPlaceTrans&quot;&gt;&lt;/Field&gt;&lt;Field id=&quot;PubYear&quot;&gt;1985&lt;/Field&gt;&lt;Field id=&quot;Publisher&quot;&gt;&lt;/Field&gt;&lt;Field id=&quot;PublisherTrans&quot;&gt;&lt;/Field&gt;&lt;Field id=&quot;TITrans&quot;&gt;&lt;/Field&gt;&lt;Field id=&quot;Title&quot;&gt;A simple micromethod for collagen and total protein determination in formalin-fixed paraffin-embedded sections.&lt;/Field&gt;&lt;Field id=&quot;Translator&quot;&gt;&lt;/Field&gt;&lt;Field id=&quot;Type&quot;&gt;{041D4F77-279E-4405-0002-4388361B9CFF}&lt;/Field&gt;&lt;Field id=&quot;Version&quot;&gt;&lt;/Field&gt;&lt;Field id=&quot;Vol&quot;&gt;33&lt;/Field&gt;&lt;Field id=&quot;Author2&quot;&gt;López-De,LA;Rojkind,M;&lt;/Field&gt;&lt;/Data&gt;&lt;Ref&gt;&lt;Display&gt;&lt;Text StringText=&quot;「RefIndex」&quot; SuperScript=&quot;true&quot;/&gt;&lt;/Display&gt;&lt;/Ref&gt;&lt;Doc&gt;&lt;Display&gt;&lt;Text StringText=&quot;López-De LA, Rojkind M&quot; StringGroup=&quot;Author&quot;/&gt;&lt;Text StringText=&quot;. &quot; StringGroup=&quot;Author&quot;/&gt;&lt;Text StringText=&quot;A simple micromethod for collagen and total protein determination in formalin-fixed paraffin-embedded sections&quot; StringGroup=&quot;Title&quot;/&gt;&lt;Text StringText=&quot;. &quot; StringGroup=&quot;Title&quot;/&gt;&lt;Text StringText=&quot;J Histochem Cytochem&quot; StringGroup=&quot;Magazine&quot;/&gt;&lt;Text StringText=&quot;. &quot; StringGroup=&quot;Magazine&quot;/&gt;&lt;Text StringText=&quot;1985&quot; StringGroup=&quot;PubYear&quot;/&gt;&lt;Text StringText=&quot;. &quot; StringGroup=&quot;PubYear&quot;/&gt;&lt;Text StringText=&quot;33&quot; StringGroup=&quot;Vol&quot;/&gt;&lt;Text StringText=&quot;(&quot; StringGroup=&quot;Issue&quot;/&gt;&lt;Text StringText=&quot;8&quot; StringGroup=&quot;Issue&quot;/&gt;&lt;Text StringText=&quot;)&quot; StringGroup=&quot;Issue&quot;/&gt;&lt;Text StringText=&quot;: &quot; StringGroup=&quot;PageNum&quot;/&gt;&lt;Text StringText=&quot;737-43&quot; StringGroup=&quot;PageNum&quot;/&gt;&lt;Text StringText=&quot;.&quot; StringGroup=&quot;none&quot;/&gt;&lt;/Display&gt;&lt;/Doc&gt;&lt;/KyMRNote&gt;"/>
    <w:docVar w:name="KY.MR.DATA{3CFD8CDF-73D2-403E-9321-3C6D26054DD8}697" w:val="&lt;KyMRNote dbid=&quot;{3CFD8CDF-73D2-403E-9321-3C6D26054DD8}&quot; recid=&quot;697&quot;&gt;&lt;Data&gt;&lt;Field id=&quot;AccessNum&quot;&gt;27686093&lt;/Field&gt;&lt;Field id=&quot;Author&quot;&gt;Kuttkat N;Mohs A;Ohl K;Hooiveld G;Longerich T;Tenbrock K;Cubero FJ;Trautwein C&lt;/Field&gt;&lt;Field id=&quot;AuthorTrans&quot;&gt;&lt;/Field&gt;&lt;Field id=&quot;DOI&quot;&gt;10.1136/gutjnl-2015-311119&lt;/Field&gt;&lt;Field id=&quot;Editor&quot;&gt;&lt;/Field&gt;&lt;Field id=&quot;FmtTitle&quot;&gt;&lt;/Field&gt;&lt;Field id=&quot;Issue&quot;&gt;5&lt;/Field&gt;&lt;Field id=&quot;LIID&quot;&gt;697&lt;/Field&gt;&lt;Field id=&quot;Magazine&quot;&gt;Gut&lt;/Field&gt;&lt;Field id=&quot;MagazineAB&quot;&gt;Gut&lt;/Field&gt;&lt;Field id=&quot;MagazineTrans&quot;&gt;&lt;/Field&gt;&lt;Field id=&quot;PageNum&quot;&gt;908-919&lt;/Field&gt;&lt;Field id=&quot;PubDate&quot;&gt;May&lt;/Field&gt;&lt;Field id=&quot;PubPlace&quot;&gt;England&lt;/Field&gt;&lt;Field id=&quot;PubPlaceTrans&quot;&gt;&lt;/Field&gt;&lt;Field id=&quot;PubYear&quot;&gt;2017&lt;/Field&gt;&lt;Field id=&quot;Publisher&quot;&gt;&lt;/Field&gt;&lt;Field id=&quot;PublisherTrans&quot;&gt;&lt;/Field&gt;&lt;Field id=&quot;TITrans&quot;&gt;&lt;/Field&gt;&lt;Field id=&quot;Title&quot;&gt;Hepatic overexpression of cAMP-responsive element modulator α induces a regulatory T-cell response in a murine model of chronic liver disease.&lt;/Field&gt;&lt;Field id=&quot;Translator&quot;&gt;&lt;/Field&gt;&lt;Field id=&quot;Type&quot;&gt;{041D4F77-279E-4405-0002-4388361B9CFF}&lt;/Field&gt;&lt;Field id=&quot;Version&quot;&gt;&lt;/Field&gt;&lt;Field id=&quot;Vol&quot;&gt;66&lt;/Field&gt;&lt;Field id=&quot;Author2&quot;&gt;Kuttkat,N;Mohs,A;Ohl,K;Hooiveld,G;Longerich,T;Tenbrock,K;&lt;/Field&gt;&lt;/Data&gt;&lt;Ref&gt;&lt;Display&gt;&lt;Text StringText=&quot;「RefIndex」&quot; SuperScript=&quot;true&quot;/&gt;&lt;/Display&gt;&lt;/Ref&gt;&lt;Doc&gt;&lt;Display&gt;&lt;Text StringText=&quot;Kuttkat N, Mohs A, Ohl K, Hooiveld G, Longerich T, Tenbrock K, et al.&quot; StringGroup=&quot;Author&quot;/&gt;&lt;Text StringText=&quot; &quot; StringGroup=&quot;Author&quot;/&gt;&lt;Text StringText=&quot;Hepatic overexpression of cAMP-responsive element modulator α induces a regulatory T-cell response in a murine model of chronic liver disease&quot; StringGroup=&quot;Title&quot;/&gt;&lt;Text StringText=&quot;. &quot; StringGroup=&quot;Title&quot;/&gt;&lt;Text StringText=&quot;Gut&quot; StringGroup=&quot;Magazine&quot;/&gt;&lt;Text StringText=&quot; &quot; StringGroup=&quot;Magazine&quot;/&gt;&lt;Text StringText=&quot;2017&quot; StringGroup=&quot;PubYear&quot;/&gt;&lt;Text StringText=&quot;; &quot; StringGroup=&quot;PubYear&quot;/&gt;&lt;Text StringText=&quot;66&quot; StringGroup=&quot;Vol&quot;/&gt;&lt;Text StringText=&quot;:&quot; StringGroup=&quot;PageNum&quot;/&gt;&lt;Text StringText=&quot;908-919&quot; StringGroup=&quot;PageNum&quot;/&gt;&lt;Text StringText=&quot;.&quot; StringGroup=&quot;none&quot;/&gt;&lt;/Display&gt;&lt;/Doc&gt;&lt;/KyMRNote&gt;"/>
    <w:docVar w:name="KY.MR.DATA{3CFD8CDF-73D2-403E-9321-3C6D26054DD8}708" w:val="&lt;KyMRNote dbid=&quot;{3CFD8CDF-73D2-403E-9321-3C6D26054DD8}&quot; recid=&quot;708&quot;&gt;&lt;Data&gt;&lt;Field id=&quot;AccessNum&quot;&gt;23339067&lt;/Field&gt;&lt;Field id=&quot;Author&quot;&gt;Hatting M;Zhao G;Schumacher F;Sellge G;Al Masaoudi M;Gaβler N;Boekschoten M;Müller M;Liedtke C;Cubero FJ;Trautwein C&lt;/Field&gt;&lt;Field id=&quot;AuthorTrans&quot;&gt;&lt;/Field&gt;&lt;Field id=&quot;DOI&quot;&gt;10.1002/hep.26271&lt;/Field&gt;&lt;Field id=&quot;Editor&quot;&gt;&lt;/Field&gt;&lt;Field id=&quot;FmtTitle&quot;&gt;&lt;/Field&gt;&lt;Field id=&quot;Issue&quot;&gt;6&lt;/Field&gt;&lt;Field id=&quot;LIID&quot;&gt;708&lt;/Field&gt;&lt;Field id=&quot;Magazine&quot;&gt;Hepatology : official journal of the American Association for the Study of Liver Diseases&lt;/Field&gt;&lt;Field id=&quot;MagazineAB&quot;&gt;Hepatology&lt;/Field&gt;&lt;Field id=&quot;MagazineTrans&quot;&gt;&lt;/Field&gt;&lt;Field id=&quot;PageNum&quot;&gt;2189-201&lt;/Field&gt;&lt;Field id=&quot;PubDate&quot;&gt;Jun&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ocyte caspase-8 is an essential modulator of steatohepatitis in rodents.&lt;/Field&gt;&lt;Field id=&quot;Translator&quot;&gt;&lt;/Field&gt;&lt;Field id=&quot;Type&quot;&gt;{041D4F77-279E-4405-0002-4388361B9CFF}&lt;/Field&gt;&lt;Field id=&quot;Version&quot;&gt;&lt;/Field&gt;&lt;Field id=&quot;Vol&quot;&gt;57&lt;/Field&gt;&lt;Field id=&quot;Author2&quot;&gt;Hatting,M.;Zhao,G.;Schumacher,F.;Sellge,G.;Al,M.M.;Gaβler,N.;Boekschoten,M.;Müller,M.;Liedtke,C.;Cubero,F.J.;&lt;/Field&gt;&lt;/Data&gt;&lt;Ref&gt;&lt;Display&gt;&lt;Text AuthorShow=&quot;Hatting  et al.&quot; PubYearShow=&quot;2013&quot; StringText=&quot;Hatting  et al.,2013&quot;/&gt;&lt;/Display&gt;&lt;/Ref&gt;&lt;Doc&gt;&lt;Display&gt;&lt;Text StringText=&quot;Hatting, M., Zhao, G., Schumacher, F., Sellge, G., Al, M.M., Gaβler, N., Boekschoten, M., Müller, M., Liedtke, C., Cubero, F.J., et al.&quot; StringGroup=&quot;Author&quot;/&gt;&lt;Text StringText=&quot; &quot; StringGroup=&quot;Author&quot;/&gt;&lt;Text StringText=&quot;(&quot; StringGroup=&quot;PubYear&quot;/&gt;&lt;Text StringText=&quot;2013&quot; StringGroup=&quot;PubYear&quot;/&gt;&lt;Text StringText=&quot;). &quot; StringGroup=&quot;PubYear&quot;/&gt;&lt;Text StringText=&quot;Hepatocyte caspase-8 is an essential modulator of steatohepatitis in rodents&quot; StringGroup=&quot;Title&quot;/&gt;&lt;Text StringText=&quot;. &quot; StringGroup=&quot;Title&quot;/&gt;&lt;Text StringText=&quot;Hepatology&quot; StringGroup=&quot;Magazine&quot;/&gt;&lt;Text StringText=&quot;. &quot; StringGroup=&quot;Magazine&quot;/&gt;&lt;Text StringText=&quot;57&quot; StringGroup=&quot;Vol&quot; Italic=&quot;true&quot;/&gt;&lt;Text StringText=&quot;, &quot; StringGroup=&quot;none&quot;/&gt;&lt;Text StringText=&quot;2189-2201&quot; StringGroup=&quot;PageNum&quot;/&gt;&lt;Text StringText=&quot;.&quot; StringGroup=&quot;none&quot;/&gt;&lt;/Display&gt;&lt;/Doc&gt;&lt;/KyMRNote&gt;"/>
    <w:docVar w:name="KY.MR.DATA{3CFD8CDF-73D2-403E-9321-3C6D26054DD8}709" w:val="&lt;KyMRNote dbid=&quot;{3CFD8CDF-73D2-403E-9321-3C6D26054DD8}&quot; recid=&quot;709&quot;&gt;&lt;Data&gt;&lt;Field id=&quot;AccessNum&quot;&gt;27686093&lt;/Field&gt;&lt;Field id=&quot;Author&quot;&gt;Kuttkat N;Mohs A;Ohl K;Hooiveld G;Longerich T;Tenbrock K;Cubero FJ;Trautwein C&lt;/Field&gt;&lt;Field id=&quot;AuthorTrans&quot;&gt;&lt;/Field&gt;&lt;Field id=&quot;DOI&quot;&gt;10.1136/gutjnl-2015-311119&lt;/Field&gt;&lt;Field id=&quot;Editor&quot;&gt;&lt;/Field&gt;&lt;Field id=&quot;FmtTitle&quot;&gt;&lt;/Field&gt;&lt;Field id=&quot;Issue&quot;&gt;5&lt;/Field&gt;&lt;Field id=&quot;LIID&quot;&gt;709&lt;/Field&gt;&lt;Field id=&quot;Magazine&quot;&gt;Gut&lt;/Field&gt;&lt;Field id=&quot;MagazineAB&quot;&gt;Gut&lt;/Field&gt;&lt;Field id=&quot;MagazineTrans&quot;&gt;&lt;/Field&gt;&lt;Field id=&quot;PageNum&quot;&gt;908-919&lt;/Field&gt;&lt;Field id=&quot;PubDate&quot;&gt;May&lt;/Field&gt;&lt;Field id=&quot;PubPlace&quot;&gt;England&lt;/Field&gt;&lt;Field id=&quot;PubPlaceTrans&quot;&gt;&lt;/Field&gt;&lt;Field id=&quot;PubYear&quot;&gt;2017&lt;/Field&gt;&lt;Field id=&quot;Publisher&quot;&gt;&lt;/Field&gt;&lt;Field id=&quot;PublisherTrans&quot;&gt;&lt;/Field&gt;&lt;Field id=&quot;TITrans&quot;&gt;&lt;/Field&gt;&lt;Field id=&quot;Title&quot;&gt;Hepatic overexpression of cAMP-responsive element modulator α induces a regulatory T-cell response in a murine model of chronic liver disease.&lt;/Field&gt;&lt;Field id=&quot;Translator&quot;&gt;&lt;/Field&gt;&lt;Field id=&quot;Type&quot;&gt;{041D4F77-279E-4405-0002-4388361B9CFF}&lt;/Field&gt;&lt;Field id=&quot;Version&quot;&gt;&lt;/Field&gt;&lt;Field id=&quot;Vol&quot;&gt;66&lt;/Field&gt;&lt;Field id=&quot;Author2&quot;&gt;Kuttkat,N;Mohs,A;Ohl,K;Hooiveld,G;Longerich,T;Tenbrock,K;&lt;/Field&gt;&lt;/Data&gt;&lt;Ref&gt;&lt;Display&gt;&lt;Text StringText=&quot;「RefIndex」&quot; SuperScript=&quot;true&quot;/&gt;&lt;/Display&gt;&lt;/Ref&gt;&lt;Doc&gt;&lt;Display&gt;&lt;Text StringText=&quot;Kuttkat N, Mohs A, Ohl K, Hooiveld G, Longerich T, Tenbrock K, et al.&quot; StringGroup=&quot;Author&quot;/&gt;&lt;Text StringText=&quot; &quot; StringGroup=&quot;Author&quot;/&gt;&lt;Text StringText=&quot;Hepatic overexpression of cAMP-responsive element modulator α induces a regulatory T-cell response in a murine model of chronic liver disease&quot; StringGroup=&quot;Title&quot;/&gt;&lt;Text StringText=&quot;. &quot; StringGroup=&quot;Title&quot;/&gt;&lt;Text StringText=&quot;Gut&quot; StringGroup=&quot;Magazine&quot;/&gt;&lt;Text StringText=&quot; &quot; StringGroup=&quot;Magazine&quot;/&gt;&lt;Text StringText=&quot;2017&quot; StringGroup=&quot;PubYear&quot;/&gt;&lt;Text StringText=&quot;; &quot; StringGroup=&quot;PubYear&quot;/&gt;&lt;Text StringText=&quot;66&quot; StringGroup=&quot;Vol&quot;/&gt;&lt;Text StringText=&quot;:&quot; StringGroup=&quot;PageNum&quot;/&gt;&lt;Text StringText=&quot;908-919&quot; StringGroup=&quot;PageNum&quot;/&gt;&lt;Text StringText=&quot;.&quot; StringGroup=&quot;none&quot;/&gt;&lt;/Display&gt;&lt;/Doc&gt;&lt;/KyMRNote&gt;"/>
    <w:docVar w:name="KY.MR.DATA{3CFD8CDF-73D2-403E-9321-3C6D26054DD8}726" w:val="&lt;KyMRNote dbid=&quot;{3CFD8CDF-73D2-403E-9321-3C6D26054DD8}&quot; recid=&quot;726&quot;&gt;&lt;Data&gt;&lt;Field id=&quot;AccessNum&quot;&gt;10388717&lt;/Field&gt;&lt;Field id=&quot;Author&quot;&gt;Eyssen HJ;De Pauw G;Van Eldere J&lt;/Field&gt;&lt;Field id=&quot;AuthorTrans&quot;&gt;&lt;/Field&gt;&lt;Field id=&quot;DOI&quot;&gt;&lt;/Field&gt;&lt;Field id=&quot;Editor&quot;&gt;&lt;/Field&gt;&lt;Field id=&quot;FmtTitle&quot;&gt;&lt;/Field&gt;&lt;Field id=&quot;Issue&quot;&gt;7&lt;/Field&gt;&lt;Field id=&quot;LIID&quot;&gt;726&lt;/Field&gt;&lt;Field id=&quot;Magazine&quot;&gt;Applied and environmental microbiology&lt;/Field&gt;&lt;Field id=&quot;MagazineAB&quot;&gt;Appl Environ Microbiol&lt;/Field&gt;&lt;Field id=&quot;MagazineTrans&quot;&gt;&lt;/Field&gt;&lt;Field id=&quot;PageNum&quot;&gt;3158-63&lt;/Field&gt;&lt;Field id=&quot;PubDate&quot;&gt;Jul&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Formation of hyodeoxycholic acid from muricholic acid and hyocholic acid by an unidentified gram-positive rod termed HDCA-1 isolated from rat intestinal microflora.&lt;/Field&gt;&lt;Field id=&quot;Translator&quot;&gt;&lt;/Field&gt;&lt;Field id=&quot;Type&quot;&gt;{041D4F77-279E-4405-0002-4388361B9CFF}&lt;/Field&gt;&lt;Field id=&quot;Version&quot;&gt;&lt;/Field&gt;&lt;Field id=&quot;Vol&quot;&gt;65&lt;/Field&gt;&lt;Field id=&quot;Author2&quot;&gt;Eyssen,H.J.;De Pauw G,;Van Eldere J,;&lt;/Field&gt;&lt;/Data&gt;&lt;Ref&gt;&lt;Display&gt;&lt;Text AuthorShow=&quot;Eyssen  et al.&quot; PubYearShow=&quot;1999&quot; StringText=&quot;Eyssen  et al.,1999&quot;/&gt;&lt;/Display&gt;&lt;/Ref&gt;&lt;Doc&gt;&lt;Display&gt;&lt;Text StringText=&quot;Eyssen, H.J., De Pauw G, and Van Eldere J&quot; StringGroup=&quot;Author&quot;/&gt;&lt;Text StringText=&quot;. &quot; StringGroup=&quot;Author&quot;/&gt;&lt;Text StringText=&quot;(&quot; StringGroup=&quot;PubYear&quot;/&gt;&lt;Text StringText=&quot;1999&quot; StringGroup=&quot;PubYear&quot;/&gt;&lt;Text StringText=&quot;). &quot; StringGroup=&quot;PubYear&quot;/&gt;&lt;Text StringText=&quot;Formation of hyodeoxycholic acid from muricholic acid and hyocholic acid by an unidentified gram-positive rod termed HDCA-1 isolated from rat intestinal microflora&quot; StringGroup=&quot;Title&quot;/&gt;&lt;Text StringText=&quot;. &quot; StringGroup=&quot;Title&quot;/&gt;&lt;Text StringText=&quot;Appl. Environ. Microbiol.&quot; StringGroup=&quot;Magazine&quot;/&gt;&lt;Text StringText=&quot;. &quot; StringGroup=&quot;Magazine&quot;/&gt;&lt;Text StringText=&quot;65&quot; StringGroup=&quot;Vol&quot; Italic=&quot;true&quot;/&gt;&lt;Text StringText=&quot;, &quot; StringGroup=&quot;none&quot;/&gt;&lt;Text StringText=&quot;3158-3163&quot; StringGroup=&quot;PageNum&quot;/&gt;&lt;Text StringText=&quot;.&quot; StringGroup=&quot;none&quot;/&gt;&lt;/Display&gt;&lt;/Doc&gt;&lt;/KyMRNote&gt;"/>
    <w:docVar w:name="KY.MR.DATA{3CFD8CDF-73D2-403E-9321-3C6D26054DD8}766" w:val="&lt;KyMRNote dbid=&quot;{3CFD8CDF-73D2-403E-9321-3C6D26054DD8}&quot; recid=&quot;766&quot;&gt;&lt;Data&gt;&lt;Field id=&quot;AccessNum&quot;&gt;27686093&lt;/Field&gt;&lt;Field id=&quot;Author&quot;&gt;Kuttkat N;Mohs A;Ohl K;Hooiveld G;Longerich T;Tenbrock K;Cubero FJ;Trautwein C&lt;/Field&gt;&lt;Field id=&quot;AuthorTrans&quot;&gt;&lt;/Field&gt;&lt;Field id=&quot;DOI&quot;&gt;10.1136/gutjnl-2015-311119&lt;/Field&gt;&lt;Field id=&quot;Editor&quot;&gt;&lt;/Field&gt;&lt;Field id=&quot;FmtTitle&quot;&gt;&lt;/Field&gt;&lt;Field id=&quot;Issue&quot;&gt;5&lt;/Field&gt;&lt;Field id=&quot;LIID&quot;&gt;766&lt;/Field&gt;&lt;Field id=&quot;Magazine&quot;&gt;Gut&lt;/Field&gt;&lt;Field id=&quot;MagazineAB&quot;&gt;Gut&lt;/Field&gt;&lt;Field id=&quot;MagazineTrans&quot;&gt;&lt;/Field&gt;&lt;Field id=&quot;PageNum&quot;&gt;908-919&lt;/Field&gt;&lt;Field id=&quot;PubDate&quot;&gt;May&lt;/Field&gt;&lt;Field id=&quot;PubPlace&quot;&gt;England&lt;/Field&gt;&lt;Field id=&quot;PubPlaceTrans&quot;&gt;&lt;/Field&gt;&lt;Field id=&quot;PubYear&quot;&gt;2017&lt;/Field&gt;&lt;Field id=&quot;Publisher&quot;&gt;&lt;/Field&gt;&lt;Field id=&quot;PublisherTrans&quot;&gt;&lt;/Field&gt;&lt;Field id=&quot;TITrans&quot;&gt;&lt;/Field&gt;&lt;Field id=&quot;Title&quot;&gt;Hepatic overexpression of cAMP-responsive element modulator α induces a regulatory T-cell response in a murine model of chronic liver disease.&lt;/Field&gt;&lt;Field id=&quot;Translator&quot;&gt;&lt;/Field&gt;&lt;Field id=&quot;Type&quot;&gt;{041D4F77-279E-4405-0002-4388361B9CFF}&lt;/Field&gt;&lt;Field id=&quot;Version&quot;&gt;&lt;/Field&gt;&lt;Field id=&quot;Vol&quot;&gt;66&lt;/Field&gt;&lt;Field id=&quot;Author2&quot;&gt;Kuttkat,N;Mohs,A;Ohl,K;Hooiveld,G;Longerich,T;Tenbrock,K;&lt;/Field&gt;&lt;/Data&gt;&lt;Ref&gt;&lt;Display&gt;&lt;Text StringText=&quot;「RefIndex」&quot; SuperScript=&quot;true&quot;/&gt;&lt;/Display&gt;&lt;/Ref&gt;&lt;Doc&gt;&lt;Display&gt;&lt;Text StringText=&quot;Kuttkat N, Mohs A, Ohl K, Hooiveld G, Longerich T, Tenbrock K, et al.&quot; StringGroup=&quot;Author&quot;/&gt;&lt;Text StringText=&quot; &quot; StringGroup=&quot;Author&quot;/&gt;&lt;Text StringText=&quot;Hepatic overexpression of cAMP-responsive element modulator α induces a regulatory T-cell response in a murine model of chronic liver disease&quot; StringGroup=&quot;Title&quot;/&gt;&lt;Text StringText=&quot;. &quot; StringGroup=&quot;Title&quot;/&gt;&lt;Text StringText=&quot;Gut&quot; StringGroup=&quot;Magazine&quot;/&gt;&lt;Text StringText=&quot; &quot; StringGroup=&quot;Magazine&quot;/&gt;&lt;Text StringText=&quot;2017&quot; StringGroup=&quot;PubYear&quot;/&gt;&lt;Text StringText=&quot;; &quot; StringGroup=&quot;PubYear&quot;/&gt;&lt;Text StringText=&quot;66&quot; StringGroup=&quot;Vol&quot;/&gt;&lt;Text StringText=&quot;:&quot; StringGroup=&quot;PageNum&quot;/&gt;&lt;Text StringText=&quot;908-919&quot; StringGroup=&quot;PageNum&quot;/&gt;&lt;Text StringText=&quot;.&quot; StringGroup=&quot;none&quot;/&gt;&lt;/Display&gt;&lt;/Doc&gt;&lt;/KyMRNote&gt;"/>
    <w:docVar w:name="KY.MR.DATA{3CFD8CDF-73D2-403E-9321-3C6D26054DD8}768" w:val="&lt;KyMRNote dbid=&quot;{3CFD8CDF-73D2-403E-9321-3C6D26054DD8}&quot; recid=&quot;768&quot;&gt;&lt;Data&gt;&lt;Field id=&quot;AccessNum&quot;&gt;21702898&lt;/Field&gt;&lt;Field id=&quot;Author&quot;&gt;Segata N;Izard J;Waldron L;Gevers D;Miropolsky L;Garrett WS;Huttenhower C&lt;/Field&gt;&lt;Field id=&quot;AuthorTrans&quot;&gt;&lt;/Field&gt;&lt;Field id=&quot;DOI&quot;&gt;10.1186/gb-2011-12-6-r60&lt;/Field&gt;&lt;Field id=&quot;Editor&quot;&gt;&lt;/Field&gt;&lt;Field id=&quot;FmtTitle&quot;&gt;&lt;/Field&gt;&lt;Field id=&quot;Issue&quot;&gt;6&lt;/Field&gt;&lt;Field id=&quot;LIID&quot;&gt;768&lt;/Field&gt;&lt;Field id=&quot;Magazine&quot;&gt;Genome biology&lt;/Field&gt;&lt;Field id=&quot;MagazineAB&quot;&gt;Genome Biol&lt;/Field&gt;&lt;Field id=&quot;MagazineTrans&quot;&gt;&lt;/Field&gt;&lt;Field id=&quot;PageNum&quot;&gt;R60&lt;/Field&gt;&lt;Field id=&quot;PubDate&quot;&gt;Jun 24&lt;/Field&gt;&lt;Field id=&quot;PubPlace&quot;&gt;England&lt;/Field&gt;&lt;Field id=&quot;PubPlaceTrans&quot;&gt;&lt;/Field&gt;&lt;Field id=&quot;PubYear&quot;&gt;2011&lt;/Field&gt;&lt;Field id=&quot;Publisher&quot;&gt;&lt;/Field&gt;&lt;Field id=&quot;PublisherTrans&quot;&gt;&lt;/Field&gt;&lt;Field id=&quot;TITrans&quot;&gt;&lt;/Field&gt;&lt;Field id=&quot;Title&quot;&gt;Metagenomic biomarker discovery and explanation.&lt;/Field&gt;&lt;Field id=&quot;Translator&quot;&gt;&lt;/Field&gt;&lt;Field id=&quot;Type&quot;&gt;{041D4F77-279E-4405-0002-4388361B9CFF}&lt;/Field&gt;&lt;Field id=&quot;Version&quot;&gt;&lt;/Field&gt;&lt;Field id=&quot;Vol&quot;&gt;12&lt;/Field&gt;&lt;Field id=&quot;Author2&quot;&gt;Segata,N.;Izard,J.;Waldron,L.;Gevers,D.;Miropolsky,L.;Garrett,W.S.;Huttenhower,C.;&lt;/Field&gt;&lt;/Data&gt;&lt;Ref&gt;&lt;Display&gt;&lt;Text AuthorShow=&quot;Segata  et al.&quot; PubYearShow=&quot;2011&quot; StringText=&quot;Segata  et al.,2011&quot;/&gt;&lt;/Display&gt;&lt;/Ref&gt;&lt;Doc&gt;&lt;Display&gt;&lt;Text StringText=&quot;Segata, N., Izard, J., Waldron, L., Gevers, D., Miropolsky, L., Garrett, W.S., and Huttenhower, C.&quot; StringGroup=&quot;Author&quot;/&gt;&lt;Text StringText=&quot; &quot; StringGroup=&quot;Author&quot;/&gt;&lt;Text StringText=&quot;(&quot; StringGroup=&quot;PubYear&quot;/&gt;&lt;Text StringText=&quot;2011&quot; StringGroup=&quot;PubYear&quot;/&gt;&lt;Text StringText=&quot;). &quot; StringGroup=&quot;PubYear&quot;/&gt;&lt;Text StringText=&quot;Metagenomic biomarker discovery and explanation&quot; StringGroup=&quot;Title&quot;/&gt;&lt;Text StringText=&quot;. &quot; StringGroup=&quot;Title&quot;/&gt;&lt;Text StringText=&quot;Genome Biol.&quot; StringGroup=&quot;Magazine&quot;/&gt;&lt;Text StringText=&quot;. &quot; StringGroup=&quot;Magazine&quot;/&gt;&lt;Text StringText=&quot;12&quot; StringGroup=&quot;Vol&quot; Italic=&quot;true&quot;/&gt;&lt;Text StringText=&quot;, &quot; StringGroup=&quot;none&quot;/&gt;&lt;Text StringText=&quot;R60&quot; StringGroup=&quot;PageNum&quot;/&gt;&lt;Text StringText=&quot;.&quot; StringGroup=&quot;none&quot;/&gt;&lt;/Display&gt;&lt;/Doc&gt;&lt;/KyMRNote&gt;"/>
    <w:docVar w:name="KY.MR.DATA{3CFD8CDF-73D2-403E-9321-3C6D26054DD8}771" w:val="&lt;KyMRNote dbid=&quot;{3CFD8CDF-73D2-403E-9321-3C6D26054DD8}&quot; recid=&quot;771&quot;&gt;&lt;Data&gt;&lt;Field id=&quot;AccessNum&quot;&gt;20383131&lt;/Field&gt;&lt;Field id=&quot;Author&quot;&gt;Caporaso JG;Kuczynski J;Stombaugh J;Bittinger K;Bushman FD;Costello EK;Fierer N;Peña AG;Goodrich JK;Gordon JI;Huttley GA;Kelley ST;Knights D;Koenig JE;Ley RE;Lozupone CA;McDonald D;Muegge BD;Pirrung M;Reeder J;Sevinsky JR;Turnbaugh PJ;Walters WA;Widmann J;Yatsunenko T;Zaneveld J;Knight R&lt;/Field&gt;&lt;Field id=&quot;AuthorTrans&quot;&gt;&lt;/Field&gt;&lt;Field id=&quot;DOI&quot;&gt;10.1038/nmeth.f.303&lt;/Field&gt;&lt;Field id=&quot;Editor&quot;&gt;&lt;/Field&gt;&lt;Field id=&quot;FmtTitle&quot;&gt;&lt;/Field&gt;&lt;Field id=&quot;Issue&quot;&gt;5&lt;/Field&gt;&lt;Field id=&quot;LIID&quot;&gt;771&lt;/Field&gt;&lt;Field id=&quot;Magazine&quot;&gt;Nature methods&lt;/Field&gt;&lt;Field id=&quot;MagazineAB&quot;&gt;Nat Methods&lt;/Field&gt;&lt;Field id=&quot;MagazineTrans&quot;&gt;&lt;/Field&gt;&lt;Field id=&quot;PageNum&quot;&gt;335-6&lt;/Field&gt;&lt;Field id=&quot;PubDate&quot;&gt;May&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QIIME allows analysis of high-throughput community sequencing data.&lt;/Field&gt;&lt;Field id=&quot;Translator&quot;&gt;&lt;/Field&gt;&lt;Field id=&quot;Type&quot;&gt;{041D4F77-279E-4405-0002-4388361B9CFF}&lt;/Field&gt;&lt;Field id=&quot;Version&quot;&gt;&lt;/Field&gt;&lt;Field id=&quot;Vol&quot;&gt;7&lt;/Field&gt;&lt;Field id=&quot;Author2&quot;&gt;Caporaso,JG;Kuczynski,J;Stombaugh,J;Bittinger,K;Bushman,FD;Costello,EK;&lt;/Field&gt;&lt;/Data&gt;&lt;Ref&gt;&lt;Display&gt;&lt;Text StringText=&quot;「RefIndex」&quot; SuperScript=&quot;true&quot;/&gt;&lt;/Display&gt;&lt;/Ref&gt;&lt;Doc&gt;&lt;Display&gt;&lt;Text StringText=&quot;Caporaso JG, Kuczynski J, Stombaugh J, Bittinger K, Bushman FD, Costello EK, et al.&quot; StringGroup=&quot;Author&quot;/&gt;&lt;Text StringText=&quot; &quot; StringGroup=&quot;Author&quot;/&gt;&lt;Text StringText=&quot;QIIME allows analysis of high-throughput community sequencing data&quot; StringGroup=&quot;Title&quot;/&gt;&lt;Text StringText=&quot;. &quot; StringGroup=&quot;Title&quot;/&gt;&lt;Text StringText=&quot;Nat Methods&quot; StringGroup=&quot;Magazine&quot;/&gt;&lt;Text StringText=&quot; &quot; StringGroup=&quot;Magazine&quot;/&gt;&lt;Text StringText=&quot;2010&quot; StringGroup=&quot;PubYear&quot;/&gt;&lt;Text StringText=&quot;; &quot; StringGroup=&quot;PubYear&quot;/&gt;&lt;Text StringText=&quot;7&quot; StringGroup=&quot;Vol&quot;/&gt;&lt;Text StringText=&quot;:&quot; StringGroup=&quot;PageNum&quot;/&gt;&lt;Text StringText=&quot;335-336&quot; StringGroup=&quot;PageNum&quot;/&gt;&lt;Text StringText=&quot;.&quot; StringGroup=&quot;none&quot;/&gt;&lt;/Display&gt;&lt;/Doc&gt;&lt;/KyMRNote&gt;"/>
    <w:docVar w:name="KY.MR.DATA{3CFD8CDF-73D2-403E-9321-3C6D26054DD8}772" w:val="&lt;KyMRNote dbid=&quot;{3CFD8CDF-73D2-403E-9321-3C6D26054DD8}&quot; recid=&quot;772&quot;&gt;&lt;Data&gt;&lt;Field id=&quot;AccessNum&quot;&gt;25177538&lt;/Field&gt;&lt;Field id=&quot;Author&quot;&gt;Rideout JR;He Y;Navas-Molina JA;Walters WA;Ursell LK;Gibbons SM;Chase J;McDonald D;Gonzalez A;Robbins-Pianka A;Clemente JC;Gilbert JA;Huse SM;Zhou HW;Knight R;Caporaso JG&lt;/Field&gt;&lt;Field id=&quot;AuthorTrans&quot;&gt;&lt;/Field&gt;&lt;Field id=&quot;DOI&quot;&gt;10.7717/peerj.545&lt;/Field&gt;&lt;Field id=&quot;Editor&quot;&gt;&lt;/Field&gt;&lt;Field id=&quot;FmtTitle&quot;&gt;&lt;/Field&gt;&lt;Field id=&quot;Issue&quot;&gt;&lt;/Field&gt;&lt;Field id=&quot;LIID&quot;&gt;772&lt;/Field&gt;&lt;Field id=&quot;Magazine&quot;&gt;PeerJ&lt;/Field&gt;&lt;Field id=&quot;MagazineAB&quot;&gt;PeerJ&lt;/Field&gt;&lt;Field id=&quot;MagazineTrans&quot;&gt;&lt;/Field&gt;&lt;Field id=&quot;PageNum&quot;&gt;e545&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Subsampled open-reference clustering creates consistent, comprehensive OTU definitions and scales to billions of sequences.&lt;/Field&gt;&lt;Field id=&quot;Translator&quot;&gt;&lt;/Field&gt;&lt;Field id=&quot;Type&quot;&gt;{041D4F77-279E-4405-0002-4388361B9CFF}&lt;/Field&gt;&lt;Field id=&quot;Version&quot;&gt;&lt;/Field&gt;&lt;Field id=&quot;Vol&quot;&gt;2&lt;/Field&gt;&lt;Field id=&quot;Author2&quot;&gt;Rideout,JR;He,Y;Navas-Molina,JA;Walters,WA;Ursell,LK;Gibbons,SM;&lt;/Field&gt;&lt;/Data&gt;&lt;Ref&gt;&lt;Display&gt;&lt;Text StringText=&quot;「RefIndex」&quot; SuperScript=&quot;true&quot;/&gt;&lt;/Display&gt;&lt;/Ref&gt;&lt;Doc&gt;&lt;Display&gt;&lt;Text StringText=&quot;Rideout JR, He Y, Navas-Molina JA, Walters WA, Ursell LK, Gibbons SM, et al.&quot; StringGroup=&quot;Author&quot;/&gt;&lt;Text StringText=&quot; &quot; StringGroup=&quot;Author&quot;/&gt;&lt;Text StringText=&quot;Subsampled open-reference clustering creates consistent, comprehensive OTU definitions and scales to billions of sequences&quot; StringGroup=&quot;Title&quot;/&gt;&lt;Text StringText=&quot;. &quot; StringGroup=&quot;Title&quot;/&gt;&lt;Text StringText=&quot;PeerJ&quot; StringGroup=&quot;Magazine&quot;/&gt;&lt;Text StringText=&quot; &quot; StringGroup=&quot;Magazine&quot;/&gt;&lt;Text StringText=&quot;2014&quot; StringGroup=&quot;PubYear&quot;/&gt;&lt;Text StringText=&quot;; &quot; StringGroup=&quot;PubYear&quot;/&gt;&lt;Text StringText=&quot;2&quot; StringGroup=&quot;Vol&quot;/&gt;&lt;Text StringText=&quot;:&quot; StringGroup=&quot;PageNum&quot;/&gt;&lt;Text StringText=&quot;e545&quot; StringGroup=&quot;PageNum&quot;/&gt;&lt;Text StringText=&quot;.&quot; StringGroup=&quot;none&quot;/&gt;&lt;/Display&gt;&lt;/Doc&gt;&lt;/KyMRNote&gt;"/>
    <w:docVar w:name="KY.MR.DATA{3CFD8CDF-73D2-403E-9321-3C6D26054DD8}773" w:val="&lt;KyMRNote dbid=&quot;{3CFD8CDF-73D2-403E-9321-3C6D26054DD8}&quot; recid=&quot;773&quot;&gt;&lt;Data&gt;&lt;Field id=&quot;AccessNum&quot;&gt;21702898&lt;/Field&gt;&lt;Field id=&quot;Author&quot;&gt;Segata N;Izard J;Waldron L;Gevers D;Miropolsky L;Garrett WS;Huttenhower C&lt;/Field&gt;&lt;Field id=&quot;AuthorTrans&quot;&gt;&lt;/Field&gt;&lt;Field id=&quot;DOI&quot;&gt;10.1186/gb-2011-12-6-r60&lt;/Field&gt;&lt;Field id=&quot;Editor&quot;&gt;&lt;/Field&gt;&lt;Field id=&quot;FmtTitle&quot;&gt;&lt;/Field&gt;&lt;Field id=&quot;Issue&quot;&gt;6&lt;/Field&gt;&lt;Field id=&quot;LIID&quot;&gt;773&lt;/Field&gt;&lt;Field id=&quot;Magazine&quot;&gt;Genome biology&lt;/Field&gt;&lt;Field id=&quot;MagazineAB&quot;&gt;Genome Biol&lt;/Field&gt;&lt;Field id=&quot;MagazineTrans&quot;&gt;&lt;/Field&gt;&lt;Field id=&quot;PageNum&quot;&gt;R60&lt;/Field&gt;&lt;Field id=&quot;PubDate&quot;&gt;Jun 24&lt;/Field&gt;&lt;Field id=&quot;PubPlace&quot;&gt;England&lt;/Field&gt;&lt;Field id=&quot;PubPlaceTrans&quot;&gt;&lt;/Field&gt;&lt;Field id=&quot;PubYear&quot;&gt;2011&lt;/Field&gt;&lt;Field id=&quot;Publisher&quot;&gt;&lt;/Field&gt;&lt;Field id=&quot;PublisherTrans&quot;&gt;&lt;/Field&gt;&lt;Field id=&quot;TITrans&quot;&gt;&lt;/Field&gt;&lt;Field id=&quot;Title&quot;&gt;Metagenomic biomarker discovery and explanation.&lt;/Field&gt;&lt;Field id=&quot;Translator&quot;&gt;&lt;/Field&gt;&lt;Field id=&quot;Type&quot;&gt;{041D4F77-279E-4405-0002-4388361B9CFF}&lt;/Field&gt;&lt;Field id=&quot;Version&quot;&gt;&lt;/Field&gt;&lt;Field id=&quot;Vol&quot;&gt;12&lt;/Field&gt;&lt;Field id=&quot;Author2&quot;&gt;Segata,N;Izard,J;Waldron,L;Gevers,D;Miropolsky,L;Garrett,WS;&lt;/Field&gt;&lt;/Data&gt;&lt;Ref&gt;&lt;Display&gt;&lt;Text StringText=&quot;「RefIndex」&quot; SuperScript=&quot;true&quot;/&gt;&lt;/Display&gt;&lt;/Ref&gt;&lt;Doc&gt;&lt;Display&gt;&lt;Text StringText=&quot;Segata N, Izard J, Waldron L, Gevers D, Miropolsky L, Garrett WS, et al.&quot; StringGroup=&quot;Author&quot;/&gt;&lt;Text StringText=&quot; &quot; StringGroup=&quot;Author&quot;/&gt;&lt;Text StringText=&quot;Metagenomic biomarker discovery and explanation&quot; StringGroup=&quot;Title&quot;/&gt;&lt;Text StringText=&quot;. &quot; StringGroup=&quot;Title&quot;/&gt;&lt;Text StringText=&quot;Genome Biol&quot; StringGroup=&quot;Magazine&quot;/&gt;&lt;Text StringText=&quot; &quot; StringGroup=&quot;Magazine&quot;/&gt;&lt;Text StringText=&quot;2011&quot; StringGroup=&quot;PubYear&quot;/&gt;&lt;Text StringText=&quot;; &quot; StringGroup=&quot;PubYear&quot;/&gt;&lt;Text StringText=&quot;12&quot; StringGroup=&quot;Vol&quot;/&gt;&lt;Text StringText=&quot;:&quot; StringGroup=&quot;PageNum&quot;/&gt;&lt;Text StringText=&quot;R60&quot; StringGroup=&quot;PageNum&quot;/&gt;&lt;Text StringText=&quot;.&quot; StringGroup=&quot;none&quot;/&gt;&lt;/Display&gt;&lt;/Doc&gt;&lt;/KyMRNote&gt;"/>
    <w:docVar w:name="KY.MR.DATA{3CFD8CDF-73D2-403E-9321-3C6D26054DD8}789" w:val="&lt;KyMRNote dbid=&quot;{3CFD8CDF-73D2-403E-9321-3C6D26054DD8}&quot; recid=&quot;789&quot;&gt;&lt;Data&gt;&lt;Field id=&quot;AccessNum&quot;&gt;20368178&lt;/Field&gt;&lt;Field id=&quot;Author&quot;&gt;Turnbaugh PJ;Ridaura VK;Faith JJ;Rey FE;Knight R;Gordon JI&lt;/Field&gt;&lt;Field id=&quot;AuthorTrans&quot;&gt;&lt;/Field&gt;&lt;Field id=&quot;DOI&quot;&gt;10.1126/scitranslmed.3000322&lt;/Field&gt;&lt;Field id=&quot;Editor&quot;&gt;&lt;/Field&gt;&lt;Field id=&quot;FmtTitle&quot;&gt;&lt;/Field&gt;&lt;Field id=&quot;Issue&quot;&gt;6&lt;/Field&gt;&lt;Field id=&quot;LIID&quot;&gt;789&lt;/Field&gt;&lt;Field id=&quot;Magazine&quot;&gt;Science translational medicine&lt;/Field&gt;&lt;Field id=&quot;MagazineAB&quot;&gt;Sci Transl Med&lt;/Field&gt;&lt;Field id=&quot;MagazineTrans&quot;&gt;&lt;/Field&gt;&lt;Field id=&quot;PageNum&quot;&gt;6ra14&lt;/Field&gt;&lt;Field id=&quot;PubDate&quot;&gt;Nov 11&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The effect of diet on the human gut microbiome: a metagenomic analysis in humanized gnotobiotic mice.&lt;/Field&gt;&lt;Field id=&quot;Translator&quot;&gt;&lt;/Field&gt;&lt;Field id=&quot;Type&quot;&gt;{041D4F77-279E-4405-0002-4388361B9CFF}&lt;/Field&gt;&lt;Field id=&quot;Version&quot;&gt;&lt;/Field&gt;&lt;Field id=&quot;Vol&quot;&gt;1&lt;/Field&gt;&lt;Field id=&quot;Author2&quot;&gt;Turnbaugh,PJ;Ridaura,VK;Faith,JJ;Rey,FE;Knight,R;Gordon,JI;&lt;/Field&gt;&lt;/Data&gt;&lt;Ref&gt;&lt;Display&gt;&lt;Text StringText=&quot;「RefIndex」&quot; SuperScript=&quot;true&quot;/&gt;&lt;/Display&gt;&lt;/Ref&gt;&lt;Doc&gt;&lt;Display&gt;&lt;Text StringText=&quot;Turnbaugh PJ, Ridaura VK, Faith JJ, Rey FE, Knight R, Gordon JI&quot; StringGroup=&quot;Author&quot;/&gt;&lt;Text StringText=&quot;. &quot; StringGroup=&quot;Author&quot;/&gt;&lt;Text StringText=&quot;The effect of diet on the human gut microbiome: a metagenomic analysis in humanized gnotobiotic mice&quot; StringGroup=&quot;Title&quot;/&gt;&lt;Text StringText=&quot;. &quot; StringGroup=&quot;Title&quot;/&gt;&lt;Text StringText=&quot;Sci Transl Med&quot; StringGroup=&quot;Magazine&quot; Italic=&quot;true&quot;/&gt;&lt;Text StringText=&quot; &quot; StringGroup=&quot;Magazine&quot;/&gt;&lt;Text StringText=&quot;2009&quot; StringGroup=&quot;PubYear&quot;/&gt;&lt;Text StringText=&quot;; &quot; StringGroup=&quot;PubYear&quot;/&gt;&lt;Text StringText=&quot;1&quot; StringGroup=&quot;Vol&quot; Border=&quot;true&quot;/&gt;&lt;Text StringText=&quot;:&quot; StringGroup=&quot;PageNum&quot;/&gt;&lt;Text StringText=&quot;6ra14&quot; StringGroup=&quot;PageNum&quot;/&gt;&lt;Text StringText=&quot;.&quot; StringGroup=&quot;none&quot;/&gt;&lt;/Display&gt;&lt;/Doc&gt;&lt;/KyMRNote&gt;"/>
  </w:docVars>
  <w:rsids>
    <w:rsidRoot w:val="00AC1D0E"/>
    <w:rsid w:val="0001004D"/>
    <w:rsid w:val="00015EF2"/>
    <w:rsid w:val="00021D70"/>
    <w:rsid w:val="00026DEF"/>
    <w:rsid w:val="00033E05"/>
    <w:rsid w:val="0004052D"/>
    <w:rsid w:val="00053731"/>
    <w:rsid w:val="00053C73"/>
    <w:rsid w:val="00056597"/>
    <w:rsid w:val="0005766F"/>
    <w:rsid w:val="00066A1B"/>
    <w:rsid w:val="00072D69"/>
    <w:rsid w:val="0007537C"/>
    <w:rsid w:val="00084FD4"/>
    <w:rsid w:val="000853D5"/>
    <w:rsid w:val="00086FCC"/>
    <w:rsid w:val="000872FB"/>
    <w:rsid w:val="00091D0A"/>
    <w:rsid w:val="00092D66"/>
    <w:rsid w:val="000A4C7B"/>
    <w:rsid w:val="000A6583"/>
    <w:rsid w:val="000B2571"/>
    <w:rsid w:val="000B5E44"/>
    <w:rsid w:val="000C1BF5"/>
    <w:rsid w:val="000C2548"/>
    <w:rsid w:val="000C2813"/>
    <w:rsid w:val="000C5000"/>
    <w:rsid w:val="000C7C8A"/>
    <w:rsid w:val="000D4398"/>
    <w:rsid w:val="000D556D"/>
    <w:rsid w:val="000F6469"/>
    <w:rsid w:val="00100046"/>
    <w:rsid w:val="001005C3"/>
    <w:rsid w:val="00103AEC"/>
    <w:rsid w:val="001044D9"/>
    <w:rsid w:val="00104AB5"/>
    <w:rsid w:val="001079C3"/>
    <w:rsid w:val="001103C7"/>
    <w:rsid w:val="00113217"/>
    <w:rsid w:val="0011698E"/>
    <w:rsid w:val="00121059"/>
    <w:rsid w:val="00122BC4"/>
    <w:rsid w:val="00122DFC"/>
    <w:rsid w:val="0012345D"/>
    <w:rsid w:val="001248C0"/>
    <w:rsid w:val="00125CF8"/>
    <w:rsid w:val="00126206"/>
    <w:rsid w:val="00130EDE"/>
    <w:rsid w:val="00141DE7"/>
    <w:rsid w:val="00143AF4"/>
    <w:rsid w:val="00151B87"/>
    <w:rsid w:val="0015260C"/>
    <w:rsid w:val="001530A0"/>
    <w:rsid w:val="001535B7"/>
    <w:rsid w:val="00164F4F"/>
    <w:rsid w:val="00174375"/>
    <w:rsid w:val="00186E45"/>
    <w:rsid w:val="00192697"/>
    <w:rsid w:val="001926FD"/>
    <w:rsid w:val="00192BAD"/>
    <w:rsid w:val="00197B36"/>
    <w:rsid w:val="001A352E"/>
    <w:rsid w:val="001B29FE"/>
    <w:rsid w:val="001B49DF"/>
    <w:rsid w:val="001B5692"/>
    <w:rsid w:val="001C2D20"/>
    <w:rsid w:val="001D03F3"/>
    <w:rsid w:val="001D490B"/>
    <w:rsid w:val="001E22D8"/>
    <w:rsid w:val="001F1C20"/>
    <w:rsid w:val="001F2386"/>
    <w:rsid w:val="001F5693"/>
    <w:rsid w:val="001F7A67"/>
    <w:rsid w:val="0020222C"/>
    <w:rsid w:val="002024D0"/>
    <w:rsid w:val="00203F43"/>
    <w:rsid w:val="00217267"/>
    <w:rsid w:val="002206EF"/>
    <w:rsid w:val="002209AD"/>
    <w:rsid w:val="00230AB8"/>
    <w:rsid w:val="002338DB"/>
    <w:rsid w:val="00235065"/>
    <w:rsid w:val="00237415"/>
    <w:rsid w:val="002509CB"/>
    <w:rsid w:val="0025523C"/>
    <w:rsid w:val="002741DF"/>
    <w:rsid w:val="002747D9"/>
    <w:rsid w:val="00274C42"/>
    <w:rsid w:val="002762AD"/>
    <w:rsid w:val="00285616"/>
    <w:rsid w:val="00286D4E"/>
    <w:rsid w:val="0029217A"/>
    <w:rsid w:val="00296F3A"/>
    <w:rsid w:val="002A0D71"/>
    <w:rsid w:val="002A4496"/>
    <w:rsid w:val="002A7860"/>
    <w:rsid w:val="002C095E"/>
    <w:rsid w:val="002C30AB"/>
    <w:rsid w:val="002C638C"/>
    <w:rsid w:val="002D1CB8"/>
    <w:rsid w:val="002E022C"/>
    <w:rsid w:val="002E0402"/>
    <w:rsid w:val="002E2053"/>
    <w:rsid w:val="002F3E42"/>
    <w:rsid w:val="00300D01"/>
    <w:rsid w:val="00304077"/>
    <w:rsid w:val="00314F0F"/>
    <w:rsid w:val="003332F7"/>
    <w:rsid w:val="0033715B"/>
    <w:rsid w:val="00340FD9"/>
    <w:rsid w:val="003414D6"/>
    <w:rsid w:val="003417D8"/>
    <w:rsid w:val="00341B19"/>
    <w:rsid w:val="003467A1"/>
    <w:rsid w:val="00347B85"/>
    <w:rsid w:val="00347E02"/>
    <w:rsid w:val="00353B63"/>
    <w:rsid w:val="003614F3"/>
    <w:rsid w:val="003617C8"/>
    <w:rsid w:val="003619C5"/>
    <w:rsid w:val="003620A4"/>
    <w:rsid w:val="00364162"/>
    <w:rsid w:val="0037056E"/>
    <w:rsid w:val="00377BDE"/>
    <w:rsid w:val="003837B1"/>
    <w:rsid w:val="0039100B"/>
    <w:rsid w:val="00397A94"/>
    <w:rsid w:val="003A359E"/>
    <w:rsid w:val="003B02E6"/>
    <w:rsid w:val="003C2F6D"/>
    <w:rsid w:val="003C6C43"/>
    <w:rsid w:val="003D0077"/>
    <w:rsid w:val="003D2350"/>
    <w:rsid w:val="003E23EE"/>
    <w:rsid w:val="003E37A3"/>
    <w:rsid w:val="003F0743"/>
    <w:rsid w:val="00401226"/>
    <w:rsid w:val="004015DF"/>
    <w:rsid w:val="004052DF"/>
    <w:rsid w:val="00406AD6"/>
    <w:rsid w:val="00411E94"/>
    <w:rsid w:val="00421396"/>
    <w:rsid w:val="00423980"/>
    <w:rsid w:val="00425796"/>
    <w:rsid w:val="00426005"/>
    <w:rsid w:val="00433771"/>
    <w:rsid w:val="00450E81"/>
    <w:rsid w:val="00461F90"/>
    <w:rsid w:val="0046410B"/>
    <w:rsid w:val="004829A4"/>
    <w:rsid w:val="00487E91"/>
    <w:rsid w:val="004906A6"/>
    <w:rsid w:val="00497F24"/>
    <w:rsid w:val="004B0E03"/>
    <w:rsid w:val="004D3059"/>
    <w:rsid w:val="004D3624"/>
    <w:rsid w:val="004D4B88"/>
    <w:rsid w:val="004E1731"/>
    <w:rsid w:val="004E1F88"/>
    <w:rsid w:val="004E2E07"/>
    <w:rsid w:val="004E6C01"/>
    <w:rsid w:val="004F1805"/>
    <w:rsid w:val="004F5A6E"/>
    <w:rsid w:val="004F79C9"/>
    <w:rsid w:val="004F7BCF"/>
    <w:rsid w:val="005016B5"/>
    <w:rsid w:val="005024AB"/>
    <w:rsid w:val="005102B7"/>
    <w:rsid w:val="00510A77"/>
    <w:rsid w:val="005114C9"/>
    <w:rsid w:val="005165A8"/>
    <w:rsid w:val="00520ECC"/>
    <w:rsid w:val="00522202"/>
    <w:rsid w:val="0052635B"/>
    <w:rsid w:val="005339D1"/>
    <w:rsid w:val="005456F1"/>
    <w:rsid w:val="005504D5"/>
    <w:rsid w:val="00551007"/>
    <w:rsid w:val="00557390"/>
    <w:rsid w:val="00561BFD"/>
    <w:rsid w:val="0056367E"/>
    <w:rsid w:val="005669D0"/>
    <w:rsid w:val="00567CBB"/>
    <w:rsid w:val="00574703"/>
    <w:rsid w:val="005953A5"/>
    <w:rsid w:val="00595F42"/>
    <w:rsid w:val="005A1A86"/>
    <w:rsid w:val="005A5591"/>
    <w:rsid w:val="005B0478"/>
    <w:rsid w:val="005B4865"/>
    <w:rsid w:val="005C0BDB"/>
    <w:rsid w:val="005C1E98"/>
    <w:rsid w:val="005C3E7D"/>
    <w:rsid w:val="005D3AB8"/>
    <w:rsid w:val="005F0162"/>
    <w:rsid w:val="005F389E"/>
    <w:rsid w:val="005F4288"/>
    <w:rsid w:val="005F4E43"/>
    <w:rsid w:val="00604801"/>
    <w:rsid w:val="00604EE6"/>
    <w:rsid w:val="00606CF5"/>
    <w:rsid w:val="00617311"/>
    <w:rsid w:val="0063329A"/>
    <w:rsid w:val="006409AF"/>
    <w:rsid w:val="006463B7"/>
    <w:rsid w:val="00655296"/>
    <w:rsid w:val="00656CF8"/>
    <w:rsid w:val="00662899"/>
    <w:rsid w:val="00672671"/>
    <w:rsid w:val="00674288"/>
    <w:rsid w:val="006744F1"/>
    <w:rsid w:val="006768A8"/>
    <w:rsid w:val="00681081"/>
    <w:rsid w:val="00685D11"/>
    <w:rsid w:val="00686842"/>
    <w:rsid w:val="00691E89"/>
    <w:rsid w:val="0069495F"/>
    <w:rsid w:val="00696D26"/>
    <w:rsid w:val="006A5C27"/>
    <w:rsid w:val="006A72C0"/>
    <w:rsid w:val="006B315C"/>
    <w:rsid w:val="006B3AF7"/>
    <w:rsid w:val="006C5904"/>
    <w:rsid w:val="006D3010"/>
    <w:rsid w:val="006D552F"/>
    <w:rsid w:val="006D5E71"/>
    <w:rsid w:val="006D7014"/>
    <w:rsid w:val="006D7597"/>
    <w:rsid w:val="006D7F0B"/>
    <w:rsid w:val="006E0F4A"/>
    <w:rsid w:val="006F7D1E"/>
    <w:rsid w:val="00702639"/>
    <w:rsid w:val="00703C4A"/>
    <w:rsid w:val="00712824"/>
    <w:rsid w:val="007177CC"/>
    <w:rsid w:val="00722E91"/>
    <w:rsid w:val="00727C44"/>
    <w:rsid w:val="00731F00"/>
    <w:rsid w:val="0073540F"/>
    <w:rsid w:val="007411BC"/>
    <w:rsid w:val="007446C5"/>
    <w:rsid w:val="00763F89"/>
    <w:rsid w:val="00774B74"/>
    <w:rsid w:val="007752E4"/>
    <w:rsid w:val="00780F05"/>
    <w:rsid w:val="007811CE"/>
    <w:rsid w:val="00783EF0"/>
    <w:rsid w:val="00784CBB"/>
    <w:rsid w:val="00785E85"/>
    <w:rsid w:val="0078652E"/>
    <w:rsid w:val="00790489"/>
    <w:rsid w:val="007939CE"/>
    <w:rsid w:val="00795D7D"/>
    <w:rsid w:val="007B2652"/>
    <w:rsid w:val="007B42A7"/>
    <w:rsid w:val="007C58C0"/>
    <w:rsid w:val="007D4542"/>
    <w:rsid w:val="007E02C1"/>
    <w:rsid w:val="007E1BD5"/>
    <w:rsid w:val="007F5E56"/>
    <w:rsid w:val="00800406"/>
    <w:rsid w:val="00803F70"/>
    <w:rsid w:val="00806CEE"/>
    <w:rsid w:val="00812602"/>
    <w:rsid w:val="008152E8"/>
    <w:rsid w:val="00820F02"/>
    <w:rsid w:val="00825F92"/>
    <w:rsid w:val="008313EE"/>
    <w:rsid w:val="00840B30"/>
    <w:rsid w:val="00841FD7"/>
    <w:rsid w:val="00844F98"/>
    <w:rsid w:val="00846255"/>
    <w:rsid w:val="008475EC"/>
    <w:rsid w:val="00850E4E"/>
    <w:rsid w:val="008616E6"/>
    <w:rsid w:val="00884A33"/>
    <w:rsid w:val="00890240"/>
    <w:rsid w:val="00893C15"/>
    <w:rsid w:val="00895D2E"/>
    <w:rsid w:val="008960E4"/>
    <w:rsid w:val="008A1D40"/>
    <w:rsid w:val="008B05BB"/>
    <w:rsid w:val="008B41D0"/>
    <w:rsid w:val="008B7181"/>
    <w:rsid w:val="008C109F"/>
    <w:rsid w:val="008C5411"/>
    <w:rsid w:val="008D0905"/>
    <w:rsid w:val="008D221E"/>
    <w:rsid w:val="008D3854"/>
    <w:rsid w:val="008D6307"/>
    <w:rsid w:val="008D70DA"/>
    <w:rsid w:val="008E2740"/>
    <w:rsid w:val="008E576C"/>
    <w:rsid w:val="008E7B84"/>
    <w:rsid w:val="008F0584"/>
    <w:rsid w:val="00901887"/>
    <w:rsid w:val="00913310"/>
    <w:rsid w:val="00914746"/>
    <w:rsid w:val="0091475C"/>
    <w:rsid w:val="0091480E"/>
    <w:rsid w:val="00914D1C"/>
    <w:rsid w:val="00915A66"/>
    <w:rsid w:val="009232A7"/>
    <w:rsid w:val="009235DE"/>
    <w:rsid w:val="00925593"/>
    <w:rsid w:val="00931DF7"/>
    <w:rsid w:val="00936C2C"/>
    <w:rsid w:val="00941389"/>
    <w:rsid w:val="009416B8"/>
    <w:rsid w:val="00942AE4"/>
    <w:rsid w:val="009445D7"/>
    <w:rsid w:val="0094584F"/>
    <w:rsid w:val="009506EF"/>
    <w:rsid w:val="0095464B"/>
    <w:rsid w:val="009546C0"/>
    <w:rsid w:val="00955A1B"/>
    <w:rsid w:val="009562DE"/>
    <w:rsid w:val="009602B9"/>
    <w:rsid w:val="009605A7"/>
    <w:rsid w:val="00961ADC"/>
    <w:rsid w:val="0096342B"/>
    <w:rsid w:val="009675FB"/>
    <w:rsid w:val="00970B09"/>
    <w:rsid w:val="009921CF"/>
    <w:rsid w:val="009B0793"/>
    <w:rsid w:val="009B231C"/>
    <w:rsid w:val="009C0603"/>
    <w:rsid w:val="009C272F"/>
    <w:rsid w:val="009C6B41"/>
    <w:rsid w:val="009D0D40"/>
    <w:rsid w:val="009D2345"/>
    <w:rsid w:val="009D2898"/>
    <w:rsid w:val="009F02D9"/>
    <w:rsid w:val="009F1197"/>
    <w:rsid w:val="009F3795"/>
    <w:rsid w:val="00A03C67"/>
    <w:rsid w:val="00A05C35"/>
    <w:rsid w:val="00A05FBD"/>
    <w:rsid w:val="00A0764E"/>
    <w:rsid w:val="00A12A85"/>
    <w:rsid w:val="00A139FE"/>
    <w:rsid w:val="00A1714B"/>
    <w:rsid w:val="00A22301"/>
    <w:rsid w:val="00A2328E"/>
    <w:rsid w:val="00A24F35"/>
    <w:rsid w:val="00A312CD"/>
    <w:rsid w:val="00A44025"/>
    <w:rsid w:val="00A729C8"/>
    <w:rsid w:val="00A74CDA"/>
    <w:rsid w:val="00A8224C"/>
    <w:rsid w:val="00A87B68"/>
    <w:rsid w:val="00A9713F"/>
    <w:rsid w:val="00AA1B40"/>
    <w:rsid w:val="00AA6809"/>
    <w:rsid w:val="00AC1342"/>
    <w:rsid w:val="00AC1D0E"/>
    <w:rsid w:val="00AC343F"/>
    <w:rsid w:val="00AC3D52"/>
    <w:rsid w:val="00AC40CF"/>
    <w:rsid w:val="00AC588E"/>
    <w:rsid w:val="00AD205B"/>
    <w:rsid w:val="00AD3A84"/>
    <w:rsid w:val="00AD43F7"/>
    <w:rsid w:val="00AD5960"/>
    <w:rsid w:val="00AE2629"/>
    <w:rsid w:val="00AF3D35"/>
    <w:rsid w:val="00AF4933"/>
    <w:rsid w:val="00B01065"/>
    <w:rsid w:val="00B0534E"/>
    <w:rsid w:val="00B05CF9"/>
    <w:rsid w:val="00B2733C"/>
    <w:rsid w:val="00B40384"/>
    <w:rsid w:val="00B40F24"/>
    <w:rsid w:val="00B52C9F"/>
    <w:rsid w:val="00B70F93"/>
    <w:rsid w:val="00B7462A"/>
    <w:rsid w:val="00B74842"/>
    <w:rsid w:val="00B7506D"/>
    <w:rsid w:val="00B82BBF"/>
    <w:rsid w:val="00B83320"/>
    <w:rsid w:val="00B839EF"/>
    <w:rsid w:val="00B8597E"/>
    <w:rsid w:val="00B908E2"/>
    <w:rsid w:val="00B91613"/>
    <w:rsid w:val="00B93FD8"/>
    <w:rsid w:val="00B9434B"/>
    <w:rsid w:val="00BA14B9"/>
    <w:rsid w:val="00BA44FB"/>
    <w:rsid w:val="00BB4FCE"/>
    <w:rsid w:val="00BB72EB"/>
    <w:rsid w:val="00BC59BE"/>
    <w:rsid w:val="00BC689D"/>
    <w:rsid w:val="00BD7372"/>
    <w:rsid w:val="00BE290F"/>
    <w:rsid w:val="00BE4585"/>
    <w:rsid w:val="00BF6038"/>
    <w:rsid w:val="00C00649"/>
    <w:rsid w:val="00C01079"/>
    <w:rsid w:val="00C03F80"/>
    <w:rsid w:val="00C06BFF"/>
    <w:rsid w:val="00C1029E"/>
    <w:rsid w:val="00C11BD1"/>
    <w:rsid w:val="00C14857"/>
    <w:rsid w:val="00C22E93"/>
    <w:rsid w:val="00C22F5A"/>
    <w:rsid w:val="00C30F33"/>
    <w:rsid w:val="00C37ED7"/>
    <w:rsid w:val="00C41776"/>
    <w:rsid w:val="00C431B1"/>
    <w:rsid w:val="00C535BC"/>
    <w:rsid w:val="00C552BF"/>
    <w:rsid w:val="00C56364"/>
    <w:rsid w:val="00C5682E"/>
    <w:rsid w:val="00C57F55"/>
    <w:rsid w:val="00C60C8F"/>
    <w:rsid w:val="00C615DB"/>
    <w:rsid w:val="00C72384"/>
    <w:rsid w:val="00C72C1D"/>
    <w:rsid w:val="00C76308"/>
    <w:rsid w:val="00C91BDD"/>
    <w:rsid w:val="00C92632"/>
    <w:rsid w:val="00CA02C0"/>
    <w:rsid w:val="00CA40F4"/>
    <w:rsid w:val="00CB0FB6"/>
    <w:rsid w:val="00CB329E"/>
    <w:rsid w:val="00CC19EC"/>
    <w:rsid w:val="00CC543C"/>
    <w:rsid w:val="00CC5E55"/>
    <w:rsid w:val="00CC7A4E"/>
    <w:rsid w:val="00CC7AEF"/>
    <w:rsid w:val="00CC7D0A"/>
    <w:rsid w:val="00CD4D1D"/>
    <w:rsid w:val="00CE6EE3"/>
    <w:rsid w:val="00CF36B6"/>
    <w:rsid w:val="00CF38BE"/>
    <w:rsid w:val="00CF7816"/>
    <w:rsid w:val="00D0408A"/>
    <w:rsid w:val="00D06840"/>
    <w:rsid w:val="00D1181D"/>
    <w:rsid w:val="00D125F8"/>
    <w:rsid w:val="00D134C3"/>
    <w:rsid w:val="00D165F0"/>
    <w:rsid w:val="00D2318F"/>
    <w:rsid w:val="00D25B1E"/>
    <w:rsid w:val="00D31853"/>
    <w:rsid w:val="00D36600"/>
    <w:rsid w:val="00D47D9E"/>
    <w:rsid w:val="00D500C4"/>
    <w:rsid w:val="00D54B48"/>
    <w:rsid w:val="00D55368"/>
    <w:rsid w:val="00D65FE2"/>
    <w:rsid w:val="00D7142F"/>
    <w:rsid w:val="00D722AD"/>
    <w:rsid w:val="00D74A77"/>
    <w:rsid w:val="00D84E03"/>
    <w:rsid w:val="00D86AC2"/>
    <w:rsid w:val="00D93754"/>
    <w:rsid w:val="00D968F9"/>
    <w:rsid w:val="00DA0DDB"/>
    <w:rsid w:val="00DA622B"/>
    <w:rsid w:val="00DB43EA"/>
    <w:rsid w:val="00DB766F"/>
    <w:rsid w:val="00DC46A4"/>
    <w:rsid w:val="00DC60C3"/>
    <w:rsid w:val="00DC657A"/>
    <w:rsid w:val="00DD316E"/>
    <w:rsid w:val="00DD5114"/>
    <w:rsid w:val="00DE0B6B"/>
    <w:rsid w:val="00DE5443"/>
    <w:rsid w:val="00DF4730"/>
    <w:rsid w:val="00E01CAB"/>
    <w:rsid w:val="00E30C08"/>
    <w:rsid w:val="00E322DB"/>
    <w:rsid w:val="00E32549"/>
    <w:rsid w:val="00E32830"/>
    <w:rsid w:val="00E33511"/>
    <w:rsid w:val="00E46E53"/>
    <w:rsid w:val="00E55D68"/>
    <w:rsid w:val="00E60841"/>
    <w:rsid w:val="00E6783A"/>
    <w:rsid w:val="00E71132"/>
    <w:rsid w:val="00E946A2"/>
    <w:rsid w:val="00E95AF5"/>
    <w:rsid w:val="00EA2251"/>
    <w:rsid w:val="00EB2C50"/>
    <w:rsid w:val="00EC53DB"/>
    <w:rsid w:val="00EC670B"/>
    <w:rsid w:val="00EC72C6"/>
    <w:rsid w:val="00ED0A69"/>
    <w:rsid w:val="00ED6092"/>
    <w:rsid w:val="00EE58CF"/>
    <w:rsid w:val="00EE7C12"/>
    <w:rsid w:val="00EF29B3"/>
    <w:rsid w:val="00EF301E"/>
    <w:rsid w:val="00F05141"/>
    <w:rsid w:val="00F104D5"/>
    <w:rsid w:val="00F10836"/>
    <w:rsid w:val="00F215C0"/>
    <w:rsid w:val="00F2255C"/>
    <w:rsid w:val="00F27554"/>
    <w:rsid w:val="00F32506"/>
    <w:rsid w:val="00F40572"/>
    <w:rsid w:val="00F40FAF"/>
    <w:rsid w:val="00F4402C"/>
    <w:rsid w:val="00F512EF"/>
    <w:rsid w:val="00F522FB"/>
    <w:rsid w:val="00F57220"/>
    <w:rsid w:val="00F57302"/>
    <w:rsid w:val="00F57448"/>
    <w:rsid w:val="00F669C6"/>
    <w:rsid w:val="00F6726A"/>
    <w:rsid w:val="00F679D1"/>
    <w:rsid w:val="00F71418"/>
    <w:rsid w:val="00F76DEB"/>
    <w:rsid w:val="00F94150"/>
    <w:rsid w:val="00F96C43"/>
    <w:rsid w:val="00FA4D61"/>
    <w:rsid w:val="00FB24E6"/>
    <w:rsid w:val="00FC066E"/>
    <w:rsid w:val="00FC234C"/>
    <w:rsid w:val="00FC23F8"/>
    <w:rsid w:val="00FD12EB"/>
    <w:rsid w:val="00FD59F2"/>
    <w:rsid w:val="00FE743F"/>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E38B8"/>
  <w15:docId w15:val="{61A296D8-1219-3645-B6C9-8A27698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5296"/>
    <w:pPr>
      <w:spacing w:after="200" w:line="360" w:lineRule="auto"/>
    </w:pPr>
    <w:rPr>
      <w:rFonts w:ascii="Arial" w:eastAsia="Arial" w:hAnsi="Arial" w:cs="Times New Roman"/>
      <w:sz w:val="24"/>
      <w:szCs w:val="24"/>
      <w:lang w:eastAsia="de-DE"/>
    </w:rPr>
  </w:style>
  <w:style w:type="paragraph" w:styleId="berschrift1">
    <w:name w:val="heading 1"/>
    <w:basedOn w:val="Standard"/>
    <w:next w:val="Standard"/>
    <w:link w:val="berschrift1Zchn"/>
    <w:uiPriority w:val="9"/>
    <w:qFormat/>
    <w:rsid w:val="008F0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Liste2"/>
    <w:next w:val="Standard"/>
    <w:link w:val="berschrift2Zchn"/>
    <w:autoRedefine/>
    <w:qFormat/>
    <w:rsid w:val="00655296"/>
    <w:pPr>
      <w:keepNext/>
      <w:numPr>
        <w:ilvl w:val="1"/>
        <w:numId w:val="1"/>
      </w:numPr>
      <w:spacing w:before="240" w:after="60"/>
      <w:ind w:left="0" w:firstLine="0"/>
      <w:outlineLvl w:val="1"/>
    </w:pPr>
    <w:rPr>
      <w:rFonts w:cs="Arial"/>
      <w:b/>
      <w:bCs/>
      <w:iCs/>
      <w:kern w:val="36"/>
      <w:lang w:eastAsia="zh-CN"/>
    </w:rPr>
  </w:style>
  <w:style w:type="paragraph" w:styleId="berschrift3">
    <w:name w:val="heading 3"/>
    <w:basedOn w:val="Standard"/>
    <w:link w:val="berschrift3Zchn"/>
    <w:autoRedefine/>
    <w:unhideWhenUsed/>
    <w:qFormat/>
    <w:rsid w:val="00655296"/>
    <w:pPr>
      <w:keepNext/>
      <w:keepLines/>
      <w:spacing w:before="260" w:after="120"/>
      <w:outlineLvl w:val="2"/>
    </w:pPr>
    <w:rPr>
      <w:rFonts w:cs="Arial"/>
      <w:b/>
      <w:bCs/>
      <w:szCs w:val="28"/>
      <w:lang w:val="de-DE" w:eastAsia="zh-CN"/>
    </w:rPr>
  </w:style>
  <w:style w:type="paragraph" w:styleId="berschrift4">
    <w:name w:val="heading 4"/>
    <w:basedOn w:val="Liste4"/>
    <w:next w:val="Standard"/>
    <w:link w:val="berschrift4Zchn"/>
    <w:autoRedefine/>
    <w:unhideWhenUsed/>
    <w:rsid w:val="001D490B"/>
    <w:pPr>
      <w:keepNext/>
      <w:keepLines/>
      <w:spacing w:before="290" w:after="120" w:line="377" w:lineRule="auto"/>
      <w:ind w:left="0" w:firstLine="0"/>
      <w:outlineLvl w:val="3"/>
    </w:pPr>
    <w:rPr>
      <w:rFonts w:cs="Arial"/>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296"/>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55296"/>
  </w:style>
  <w:style w:type="paragraph" w:styleId="Fuzeile">
    <w:name w:val="footer"/>
    <w:basedOn w:val="Standard"/>
    <w:link w:val="FuzeileZchn"/>
    <w:uiPriority w:val="99"/>
    <w:unhideWhenUsed/>
    <w:rsid w:val="00655296"/>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55296"/>
  </w:style>
  <w:style w:type="character" w:customStyle="1" w:styleId="berschrift2Zchn">
    <w:name w:val="Überschrift 2 Zchn"/>
    <w:basedOn w:val="Absatz-Standardschriftart"/>
    <w:link w:val="berschrift2"/>
    <w:rsid w:val="00655296"/>
    <w:rPr>
      <w:rFonts w:ascii="Arial" w:eastAsia="Arial" w:hAnsi="Arial" w:cs="Arial"/>
      <w:b/>
      <w:bCs/>
      <w:iCs/>
      <w:kern w:val="36"/>
      <w:sz w:val="24"/>
      <w:szCs w:val="24"/>
    </w:rPr>
  </w:style>
  <w:style w:type="character" w:customStyle="1" w:styleId="berschrift3Zchn">
    <w:name w:val="Überschrift 3 Zchn"/>
    <w:basedOn w:val="Absatz-Standardschriftart"/>
    <w:link w:val="berschrift3"/>
    <w:rsid w:val="00655296"/>
    <w:rPr>
      <w:rFonts w:ascii="Arial" w:eastAsia="Arial" w:hAnsi="Arial" w:cs="Arial"/>
      <w:b/>
      <w:bCs/>
      <w:sz w:val="24"/>
      <w:szCs w:val="28"/>
      <w:lang w:val="de-DE"/>
    </w:rPr>
  </w:style>
  <w:style w:type="character" w:customStyle="1" w:styleId="berschrift4Zchn">
    <w:name w:val="Überschrift 4 Zchn"/>
    <w:basedOn w:val="Absatz-Standardschriftart"/>
    <w:link w:val="berschrift4"/>
    <w:rsid w:val="001D490B"/>
    <w:rPr>
      <w:rFonts w:ascii="Arial" w:eastAsia="Arial" w:hAnsi="Arial" w:cs="Arial"/>
      <w:b/>
      <w:bCs/>
      <w:sz w:val="24"/>
      <w:szCs w:val="24"/>
      <w:lang w:val="en-GB" w:eastAsia="de-DE"/>
    </w:rPr>
  </w:style>
  <w:style w:type="paragraph" w:styleId="Listenabsatz">
    <w:name w:val="List Paragraph"/>
    <w:basedOn w:val="Standard"/>
    <w:autoRedefine/>
    <w:uiPriority w:val="34"/>
    <w:qFormat/>
    <w:rsid w:val="00617311"/>
    <w:pPr>
      <w:keepNext/>
      <w:numPr>
        <w:numId w:val="4"/>
      </w:numPr>
      <w:spacing w:before="240" w:after="60"/>
      <w:contextualSpacing/>
      <w:outlineLvl w:val="1"/>
    </w:pPr>
    <w:rPr>
      <w:rFonts w:eastAsiaTheme="minorEastAsia"/>
      <w:sz w:val="20"/>
      <w:szCs w:val="20"/>
      <w:shd w:val="clear" w:color="auto" w:fill="FFFFFF"/>
      <w:lang w:eastAsia="zh-CN"/>
    </w:rPr>
  </w:style>
  <w:style w:type="paragraph" w:styleId="Endnotentext">
    <w:name w:val="endnote text"/>
    <w:basedOn w:val="Standard"/>
    <w:link w:val="EndnotentextZchn"/>
    <w:uiPriority w:val="99"/>
    <w:rsid w:val="00655296"/>
    <w:pPr>
      <w:snapToGrid w:val="0"/>
    </w:pPr>
  </w:style>
  <w:style w:type="character" w:customStyle="1" w:styleId="EndnotentextZchn">
    <w:name w:val="Endnotentext Zchn"/>
    <w:basedOn w:val="Absatz-Standardschriftart"/>
    <w:link w:val="Endnotentext"/>
    <w:uiPriority w:val="99"/>
    <w:rsid w:val="00655296"/>
    <w:rPr>
      <w:rFonts w:ascii="Arial" w:eastAsia="Arial" w:hAnsi="Arial" w:cs="Times New Roman"/>
      <w:sz w:val="24"/>
      <w:szCs w:val="24"/>
      <w:lang w:eastAsia="de-DE"/>
    </w:rPr>
  </w:style>
  <w:style w:type="character" w:styleId="Endnotenzeichen">
    <w:name w:val="endnote reference"/>
    <w:basedOn w:val="Absatz-Standardschriftart"/>
    <w:uiPriority w:val="99"/>
    <w:semiHidden/>
    <w:rsid w:val="00655296"/>
    <w:rPr>
      <w:rFonts w:cs="Times New Roman"/>
      <w:vertAlign w:val="superscript"/>
    </w:rPr>
  </w:style>
  <w:style w:type="character" w:customStyle="1" w:styleId="apple-style-span">
    <w:name w:val="apple-style-span"/>
    <w:basedOn w:val="Absatz-Standardschriftart"/>
    <w:uiPriority w:val="99"/>
    <w:rsid w:val="00655296"/>
    <w:rPr>
      <w:rFonts w:cs="Times New Roman"/>
    </w:rPr>
  </w:style>
  <w:style w:type="paragraph" w:customStyle="1" w:styleId="follows-h45">
    <w:name w:val="follows-h45"/>
    <w:basedOn w:val="Standard"/>
    <w:rsid w:val="00655296"/>
    <w:pPr>
      <w:spacing w:after="0" w:line="240" w:lineRule="auto"/>
    </w:pPr>
    <w:rPr>
      <w:rFonts w:ascii="Times New Roman" w:hAnsi="Times New Roman"/>
    </w:rPr>
  </w:style>
  <w:style w:type="character" w:customStyle="1" w:styleId="mb">
    <w:name w:val="mb"/>
    <w:basedOn w:val="Absatz-Standardschriftart"/>
    <w:rsid w:val="00655296"/>
  </w:style>
  <w:style w:type="paragraph" w:customStyle="1" w:styleId="4">
    <w:name w:val="标题4"/>
    <w:basedOn w:val="berschrift3"/>
    <w:link w:val="4Char"/>
    <w:qFormat/>
    <w:rsid w:val="00655296"/>
    <w:pPr>
      <w:numPr>
        <w:ilvl w:val="3"/>
        <w:numId w:val="3"/>
      </w:numPr>
    </w:pPr>
  </w:style>
  <w:style w:type="character" w:customStyle="1" w:styleId="4Char">
    <w:name w:val="标题4 Char"/>
    <w:basedOn w:val="berschrift3Zchn"/>
    <w:link w:val="4"/>
    <w:rsid w:val="00655296"/>
    <w:rPr>
      <w:rFonts w:ascii="Arial" w:eastAsia="Arial" w:hAnsi="Arial" w:cs="Arial"/>
      <w:b/>
      <w:bCs/>
      <w:sz w:val="24"/>
      <w:szCs w:val="28"/>
      <w:lang w:val="de-DE"/>
    </w:rPr>
  </w:style>
  <w:style w:type="paragraph" w:styleId="Liste2">
    <w:name w:val="List 2"/>
    <w:basedOn w:val="Standard"/>
    <w:uiPriority w:val="99"/>
    <w:semiHidden/>
    <w:unhideWhenUsed/>
    <w:rsid w:val="00655296"/>
    <w:pPr>
      <w:ind w:left="720" w:hanging="360"/>
      <w:contextualSpacing/>
    </w:pPr>
  </w:style>
  <w:style w:type="paragraph" w:styleId="Liste4">
    <w:name w:val="List 4"/>
    <w:basedOn w:val="Standard"/>
    <w:uiPriority w:val="99"/>
    <w:semiHidden/>
    <w:unhideWhenUsed/>
    <w:rsid w:val="00655296"/>
    <w:pPr>
      <w:ind w:left="1440" w:hanging="360"/>
      <w:contextualSpacing/>
    </w:pPr>
  </w:style>
  <w:style w:type="character" w:customStyle="1" w:styleId="berschrift1Zchn">
    <w:name w:val="Überschrift 1 Zchn"/>
    <w:basedOn w:val="Absatz-Standardschriftart"/>
    <w:link w:val="berschrift1"/>
    <w:uiPriority w:val="9"/>
    <w:rsid w:val="008F0584"/>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uiPriority w:val="39"/>
    <w:rsid w:val="0084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08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8E2"/>
    <w:rPr>
      <w:rFonts w:ascii="Tahoma" w:eastAsia="Arial" w:hAnsi="Tahoma" w:cs="Tahoma"/>
      <w:sz w:val="16"/>
      <w:szCs w:val="16"/>
      <w:lang w:eastAsia="de-DE"/>
    </w:rPr>
  </w:style>
  <w:style w:type="character" w:styleId="Hyperlink">
    <w:name w:val="Hyperlink"/>
    <w:basedOn w:val="Absatz-Standardschriftart"/>
    <w:uiPriority w:val="99"/>
    <w:unhideWhenUsed/>
    <w:rsid w:val="00731F00"/>
    <w:rPr>
      <w:color w:val="0563C1" w:themeColor="hyperlink"/>
      <w:u w:val="single"/>
    </w:rPr>
  </w:style>
  <w:style w:type="character" w:styleId="Kommentarzeichen">
    <w:name w:val="annotation reference"/>
    <w:basedOn w:val="Absatz-Standardschriftart"/>
    <w:uiPriority w:val="99"/>
    <w:semiHidden/>
    <w:unhideWhenUsed/>
    <w:rsid w:val="00A729C8"/>
    <w:rPr>
      <w:sz w:val="16"/>
      <w:szCs w:val="16"/>
    </w:rPr>
  </w:style>
  <w:style w:type="paragraph" w:styleId="Kommentartext">
    <w:name w:val="annotation text"/>
    <w:basedOn w:val="Standard"/>
    <w:link w:val="KommentartextZchn"/>
    <w:uiPriority w:val="99"/>
    <w:semiHidden/>
    <w:unhideWhenUsed/>
    <w:rsid w:val="00A729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9C8"/>
    <w:rPr>
      <w:rFonts w:ascii="Arial" w:eastAsia="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729C8"/>
    <w:rPr>
      <w:b/>
      <w:bCs/>
    </w:rPr>
  </w:style>
  <w:style w:type="character" w:customStyle="1" w:styleId="KommentarthemaZchn">
    <w:name w:val="Kommentarthema Zchn"/>
    <w:basedOn w:val="KommentartextZchn"/>
    <w:link w:val="Kommentarthema"/>
    <w:uiPriority w:val="99"/>
    <w:semiHidden/>
    <w:rsid w:val="00A729C8"/>
    <w:rPr>
      <w:rFonts w:ascii="Arial" w:eastAsia="Arial" w:hAnsi="Arial" w:cs="Times New Roman"/>
      <w:b/>
      <w:bCs/>
      <w:sz w:val="20"/>
      <w:szCs w:val="20"/>
      <w:lang w:eastAsia="de-DE"/>
    </w:rPr>
  </w:style>
  <w:style w:type="paragraph" w:styleId="StandardWeb">
    <w:name w:val="Normal (Web)"/>
    <w:basedOn w:val="Standard"/>
    <w:uiPriority w:val="99"/>
    <w:unhideWhenUsed/>
    <w:rsid w:val="00DB43EA"/>
    <w:pPr>
      <w:spacing w:before="100" w:beforeAutospacing="1" w:after="100" w:afterAutospacing="1" w:line="240" w:lineRule="auto"/>
    </w:pPr>
    <w:rPr>
      <w:rFonts w:ascii="Times" w:eastAsia="Cambria" w:hAnsi="Times"/>
      <w:sz w:val="20"/>
      <w:szCs w:val="20"/>
      <w:lang w:eastAsia="en-US"/>
    </w:rPr>
  </w:style>
  <w:style w:type="paragraph" w:styleId="berarbeitung">
    <w:name w:val="Revision"/>
    <w:hidden/>
    <w:uiPriority w:val="99"/>
    <w:semiHidden/>
    <w:rsid w:val="00461F90"/>
    <w:pPr>
      <w:spacing w:after="0" w:line="240" w:lineRule="auto"/>
    </w:pPr>
    <w:rPr>
      <w:rFonts w:ascii="Arial" w:eastAsia="Arial" w:hAnsi="Arial" w:cs="Times New Roman"/>
      <w:sz w:val="24"/>
      <w:szCs w:val="24"/>
      <w:lang w:eastAsia="de-DE"/>
    </w:rPr>
  </w:style>
  <w:style w:type="character" w:styleId="Hervorhebung">
    <w:name w:val="Emphasis"/>
    <w:basedOn w:val="Absatz-Standardschriftart"/>
    <w:uiPriority w:val="20"/>
    <w:qFormat/>
    <w:rsid w:val="00CC7D0A"/>
    <w:rPr>
      <w:i/>
      <w:iCs/>
    </w:rPr>
  </w:style>
  <w:style w:type="character" w:customStyle="1" w:styleId="apple-converted-space">
    <w:name w:val="apple-converted-space"/>
    <w:basedOn w:val="Absatz-Standardschriftart"/>
    <w:rsid w:val="004F79C9"/>
  </w:style>
  <w:style w:type="character" w:styleId="Zeilennummer">
    <w:name w:val="line number"/>
    <w:basedOn w:val="Absatz-Standardschriftart"/>
    <w:uiPriority w:val="99"/>
    <w:semiHidden/>
    <w:unhideWhenUsed/>
    <w:rsid w:val="00D55368"/>
  </w:style>
  <w:style w:type="character" w:styleId="NichtaufgelsteErwhnung">
    <w:name w:val="Unresolved Mention"/>
    <w:basedOn w:val="Absatz-Standardschriftart"/>
    <w:uiPriority w:val="99"/>
    <w:semiHidden/>
    <w:unhideWhenUsed/>
    <w:rsid w:val="00072D69"/>
    <w:rPr>
      <w:color w:val="605E5C"/>
      <w:shd w:val="clear" w:color="auto" w:fill="E1DFDD"/>
    </w:rPr>
  </w:style>
  <w:style w:type="table" w:customStyle="1" w:styleId="Style2">
    <w:name w:val="Style2"/>
    <w:basedOn w:val="NormaleTabelle"/>
    <w:uiPriority w:val="99"/>
    <w:rsid w:val="00F96C43"/>
    <w:pPr>
      <w:spacing w:after="0" w:line="240" w:lineRule="auto"/>
    </w:pPr>
    <w:rPr>
      <w:rFonts w:ascii="Times New Roman" w:eastAsiaTheme="minorHAnsi" w:hAnsi="Times New Roman"/>
      <w:sz w:val="24"/>
      <w:szCs w:val="24"/>
      <w:lang w:eastAsia="en-US"/>
    </w:rPr>
    <w:tblPr/>
  </w:style>
  <w:style w:type="paragraph" w:styleId="Beschriftung">
    <w:name w:val="caption"/>
    <w:basedOn w:val="Standard"/>
    <w:next w:val="Standard"/>
    <w:uiPriority w:val="35"/>
    <w:unhideWhenUsed/>
    <w:qFormat/>
    <w:rsid w:val="00F96C43"/>
    <w:pPr>
      <w:spacing w:line="240" w:lineRule="auto"/>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72341">
      <w:bodyDiv w:val="1"/>
      <w:marLeft w:val="0"/>
      <w:marRight w:val="0"/>
      <w:marTop w:val="0"/>
      <w:marBottom w:val="0"/>
      <w:divBdr>
        <w:top w:val="none" w:sz="0" w:space="0" w:color="auto"/>
        <w:left w:val="none" w:sz="0" w:space="0" w:color="auto"/>
        <w:bottom w:val="none" w:sz="0" w:space="0" w:color="auto"/>
        <w:right w:val="none" w:sz="0" w:space="0" w:color="auto"/>
      </w:divBdr>
    </w:div>
    <w:div w:id="899511910">
      <w:bodyDiv w:val="1"/>
      <w:marLeft w:val="0"/>
      <w:marRight w:val="0"/>
      <w:marTop w:val="0"/>
      <w:marBottom w:val="0"/>
      <w:divBdr>
        <w:top w:val="none" w:sz="0" w:space="0" w:color="auto"/>
        <w:left w:val="none" w:sz="0" w:space="0" w:color="auto"/>
        <w:bottom w:val="none" w:sz="0" w:space="0" w:color="auto"/>
        <w:right w:val="none" w:sz="0" w:space="0" w:color="auto"/>
      </w:divBdr>
    </w:div>
    <w:div w:id="949623335">
      <w:bodyDiv w:val="1"/>
      <w:marLeft w:val="0"/>
      <w:marRight w:val="0"/>
      <w:marTop w:val="0"/>
      <w:marBottom w:val="0"/>
      <w:divBdr>
        <w:top w:val="none" w:sz="0" w:space="0" w:color="auto"/>
        <w:left w:val="none" w:sz="0" w:space="0" w:color="auto"/>
        <w:bottom w:val="none" w:sz="0" w:space="0" w:color="auto"/>
        <w:right w:val="none" w:sz="0" w:space="0" w:color="auto"/>
      </w:divBdr>
    </w:div>
    <w:div w:id="1226648610">
      <w:bodyDiv w:val="1"/>
      <w:marLeft w:val="0"/>
      <w:marRight w:val="0"/>
      <w:marTop w:val="0"/>
      <w:marBottom w:val="0"/>
      <w:divBdr>
        <w:top w:val="none" w:sz="0" w:space="0" w:color="auto"/>
        <w:left w:val="none" w:sz="0" w:space="0" w:color="auto"/>
        <w:bottom w:val="none" w:sz="0" w:space="0" w:color="auto"/>
        <w:right w:val="none" w:sz="0" w:space="0" w:color="auto"/>
      </w:divBdr>
    </w:div>
    <w:div w:id="1772969974">
      <w:bodyDiv w:val="1"/>
      <w:marLeft w:val="0"/>
      <w:marRight w:val="0"/>
      <w:marTop w:val="0"/>
      <w:marBottom w:val="0"/>
      <w:divBdr>
        <w:top w:val="none" w:sz="0" w:space="0" w:color="auto"/>
        <w:left w:val="none" w:sz="0" w:space="0" w:color="auto"/>
        <w:bottom w:val="none" w:sz="0" w:space="0" w:color="auto"/>
        <w:right w:val="none" w:sz="0" w:space="0" w:color="auto"/>
      </w:divBdr>
      <w:divsChild>
        <w:div w:id="331226842">
          <w:marLeft w:val="0"/>
          <w:marRight w:val="0"/>
          <w:marTop w:val="0"/>
          <w:marBottom w:val="150"/>
          <w:divBdr>
            <w:top w:val="none" w:sz="0" w:space="0" w:color="auto"/>
            <w:left w:val="none" w:sz="0" w:space="0" w:color="auto"/>
            <w:bottom w:val="none" w:sz="0" w:space="0" w:color="auto"/>
            <w:right w:val="none" w:sz="0" w:space="0" w:color="auto"/>
          </w:divBdr>
          <w:divsChild>
            <w:div w:id="121270243">
              <w:marLeft w:val="0"/>
              <w:marRight w:val="0"/>
              <w:marTop w:val="150"/>
              <w:marBottom w:val="0"/>
              <w:divBdr>
                <w:top w:val="none" w:sz="0" w:space="0" w:color="auto"/>
                <w:left w:val="none" w:sz="0" w:space="0" w:color="auto"/>
                <w:bottom w:val="none" w:sz="0" w:space="0" w:color="auto"/>
                <w:right w:val="none" w:sz="0" w:space="0" w:color="auto"/>
              </w:divBdr>
            </w:div>
            <w:div w:id="271669941">
              <w:marLeft w:val="0"/>
              <w:marRight w:val="0"/>
              <w:marTop w:val="0"/>
              <w:marBottom w:val="0"/>
              <w:divBdr>
                <w:top w:val="none" w:sz="0" w:space="0" w:color="auto"/>
                <w:left w:val="none" w:sz="0" w:space="0" w:color="auto"/>
                <w:bottom w:val="none" w:sz="0" w:space="0" w:color="auto"/>
                <w:right w:val="none" w:sz="0" w:space="0" w:color="auto"/>
              </w:divBdr>
            </w:div>
          </w:divsChild>
        </w:div>
        <w:div w:id="732581873">
          <w:marLeft w:val="0"/>
          <w:marRight w:val="0"/>
          <w:marTop w:val="0"/>
          <w:marBottom w:val="0"/>
          <w:divBdr>
            <w:top w:val="none" w:sz="0" w:space="0" w:color="auto"/>
            <w:left w:val="none" w:sz="0" w:space="0" w:color="auto"/>
            <w:bottom w:val="none" w:sz="0" w:space="0" w:color="auto"/>
            <w:right w:val="none" w:sz="0" w:space="0" w:color="auto"/>
          </w:divBdr>
          <w:divsChild>
            <w:div w:id="368141050">
              <w:marLeft w:val="0"/>
              <w:marRight w:val="0"/>
              <w:marTop w:val="0"/>
              <w:marBottom w:val="0"/>
              <w:divBdr>
                <w:top w:val="none" w:sz="0" w:space="0" w:color="auto"/>
                <w:left w:val="none" w:sz="0" w:space="0" w:color="auto"/>
                <w:bottom w:val="none" w:sz="0" w:space="0" w:color="auto"/>
                <w:right w:val="none" w:sz="0" w:space="0" w:color="auto"/>
              </w:divBdr>
            </w:div>
            <w:div w:id="938835180">
              <w:marLeft w:val="0"/>
              <w:marRight w:val="0"/>
              <w:marTop w:val="0"/>
              <w:marBottom w:val="150"/>
              <w:divBdr>
                <w:top w:val="single" w:sz="6" w:space="2" w:color="DEDEDE"/>
                <w:left w:val="none" w:sz="0" w:space="0" w:color="auto"/>
                <w:bottom w:val="single" w:sz="6" w:space="2" w:color="DEDEDE"/>
                <w:right w:val="none" w:sz="0" w:space="0" w:color="auto"/>
              </w:divBdr>
              <w:divsChild>
                <w:div w:id="380249035">
                  <w:marLeft w:val="0"/>
                  <w:marRight w:val="0"/>
                  <w:marTop w:val="0"/>
                  <w:marBottom w:val="0"/>
                  <w:divBdr>
                    <w:top w:val="single" w:sz="6" w:space="8" w:color="DEDEDE"/>
                    <w:left w:val="none" w:sz="0" w:space="0" w:color="auto"/>
                    <w:bottom w:val="single" w:sz="6" w:space="8" w:color="DEDEDE"/>
                    <w:right w:val="none" w:sz="0" w:space="0" w:color="auto"/>
                  </w:divBdr>
                </w:div>
              </w:divsChild>
            </w:div>
          </w:divsChild>
        </w:div>
      </w:divsChild>
    </w:div>
    <w:div w:id="1905143625">
      <w:bodyDiv w:val="1"/>
      <w:marLeft w:val="0"/>
      <w:marRight w:val="0"/>
      <w:marTop w:val="0"/>
      <w:marBottom w:val="0"/>
      <w:divBdr>
        <w:top w:val="none" w:sz="0" w:space="0" w:color="auto"/>
        <w:left w:val="none" w:sz="0" w:space="0" w:color="auto"/>
        <w:bottom w:val="none" w:sz="0" w:space="0" w:color="auto"/>
        <w:right w:val="none" w:sz="0" w:space="0" w:color="auto"/>
      </w:divBdr>
    </w:div>
    <w:div w:id="2105179299">
      <w:bodyDiv w:val="1"/>
      <w:marLeft w:val="0"/>
      <w:marRight w:val="0"/>
      <w:marTop w:val="0"/>
      <w:marBottom w:val="0"/>
      <w:divBdr>
        <w:top w:val="none" w:sz="0" w:space="0" w:color="auto"/>
        <w:left w:val="none" w:sz="0" w:space="0" w:color="auto"/>
        <w:bottom w:val="none" w:sz="0" w:space="0" w:color="auto"/>
        <w:right w:val="none" w:sz="0" w:space="0" w:color="auto"/>
      </w:divBdr>
    </w:div>
    <w:div w:id="2120948705">
      <w:bodyDiv w:val="1"/>
      <w:marLeft w:val="0"/>
      <w:marRight w:val="0"/>
      <w:marTop w:val="0"/>
      <w:marBottom w:val="0"/>
      <w:divBdr>
        <w:top w:val="none" w:sz="0" w:space="0" w:color="auto"/>
        <w:left w:val="none" w:sz="0" w:space="0" w:color="auto"/>
        <w:bottom w:val="none" w:sz="0" w:space="0" w:color="auto"/>
        <w:right w:val="none" w:sz="0" w:space="0" w:color="auto"/>
      </w:divBdr>
      <w:divsChild>
        <w:div w:id="284166601">
          <w:marLeft w:val="300"/>
          <w:marRight w:val="300"/>
          <w:marTop w:val="0"/>
          <w:marBottom w:val="0"/>
          <w:divBdr>
            <w:top w:val="none" w:sz="0" w:space="0" w:color="auto"/>
            <w:left w:val="none" w:sz="0" w:space="0" w:color="auto"/>
            <w:bottom w:val="none" w:sz="0" w:space="0" w:color="auto"/>
            <w:right w:val="none" w:sz="0" w:space="0" w:color="auto"/>
          </w:divBdr>
          <w:divsChild>
            <w:div w:id="708064967">
              <w:marLeft w:val="0"/>
              <w:marRight w:val="0"/>
              <w:marTop w:val="0"/>
              <w:marBottom w:val="0"/>
              <w:divBdr>
                <w:top w:val="none" w:sz="0" w:space="0" w:color="auto"/>
                <w:left w:val="none" w:sz="0" w:space="0" w:color="auto"/>
                <w:bottom w:val="none" w:sz="0" w:space="0" w:color="auto"/>
                <w:right w:val="none" w:sz="0" w:space="0" w:color="auto"/>
              </w:divBdr>
            </w:div>
          </w:divsChild>
        </w:div>
        <w:div w:id="1069042053">
          <w:marLeft w:val="300"/>
          <w:marRight w:val="0"/>
          <w:marTop w:val="0"/>
          <w:marBottom w:val="0"/>
          <w:divBdr>
            <w:top w:val="none" w:sz="0" w:space="0" w:color="auto"/>
            <w:left w:val="none" w:sz="0" w:space="0" w:color="auto"/>
            <w:bottom w:val="none" w:sz="0" w:space="0" w:color="auto"/>
            <w:right w:val="none" w:sz="0" w:space="0" w:color="auto"/>
          </w:divBdr>
          <w:divsChild>
            <w:div w:id="5647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cell-reports/fulltext/S2211-1247%2817%293141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drr.io/cran/ggplot2/man/stat_ellipse.html" TargetMode="External"/><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E819-EB29-E84F-BA86-6BD9C48C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8523</Words>
  <Characters>51394</Characters>
  <Application>Microsoft Office Word</Application>
  <DocSecurity>0</DocSecurity>
  <Lines>778</Lines>
  <Paragraphs>111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UKAACHEN</Company>
  <LinksUpToDate>false</LinksUpToDate>
  <CharactersWithSpaces>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Lijun Liao</dc:creator>
  <cp:keywords/>
  <dc:description/>
  <cp:lastModifiedBy>Kai Markus  Schneider</cp:lastModifiedBy>
  <cp:revision>2</cp:revision>
  <cp:lastPrinted>2018-04-21T19:43:00Z</cp:lastPrinted>
  <dcterms:created xsi:type="dcterms:W3CDTF">2019-02-06T10:48:00Z</dcterms:created>
  <dcterms:modified xsi:type="dcterms:W3CDTF">2019-02-06T10:48:00Z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4a4c5d93-e39f-37c2-93c2-d909108d631e</vt:lpwstr>
  </property>
  <property fmtid="{D5CDD505-2E9C-101B-9397-08002B2CF9AE}" pid="4" name="Mendeley Citation Style_1">
    <vt:lpwstr>http://www.zotero.org/styles/american-society-for-microbiology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http://www.zotero.org/styles/american-society-for-microbiology</vt:lpwstr>
  </property>
  <property fmtid="{D5CDD505-2E9C-101B-9397-08002B2CF9AE}" pid="10" name="Mendeley Recent Style Name 2_1">
    <vt:lpwstr>American Society for Microbiology</vt:lpwstr>
  </property>
  <property fmtid="{D5CDD505-2E9C-101B-9397-08002B2CF9AE}" pid="11" name="Mendeley Recent Style Id 3_1">
    <vt:lpwstr>http://www.zotero.org/styles/gut</vt:lpwstr>
  </property>
  <property fmtid="{D5CDD505-2E9C-101B-9397-08002B2CF9AE}" pid="12" name="Mendeley Recent Style Name 3_1">
    <vt:lpwstr>Gut</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http://www.zotero.org/styles/hepatology</vt:lpwstr>
  </property>
  <property fmtid="{D5CDD505-2E9C-101B-9397-08002B2CF9AE}" pid="16" name="Mendeley Recent Style Name 5_1">
    <vt:lpwstr>Hepatology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http://www.zotero.org/styles/international-journal-of-molecular-sciences</vt:lpwstr>
  </property>
  <property fmtid="{D5CDD505-2E9C-101B-9397-08002B2CF9AE}" pid="20" name="Mendeley Recent Style Name 7_1">
    <vt:lpwstr>International Journal of Molecular Sciences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